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s://1.next.westlaw.com/Link/RelatedInformation/Flag?documentGuid=I1ca7cdd43a4311da974abd26ac2a6030&amp;transitionType=Document&amp;originationContext=docHeaderFlag&amp;Rank=0&amp;ppcid=382058a0d022479882e7932fd0dd5d7c&amp;contextData=(sc.Default)"/>
  <Relationship Id="r8"
    Type="http://schemas.openxmlformats.org/officeDocument/2006/relationships/image"
    Target="images/2.png"/>
  <Relationship Id="r9"
    Type="http://schemas.openxmlformats.org/officeDocument/2006/relationships/hyperlink"
    TargetMode="External"
    Target="https://www.westlaw.com/Document/I1ca7cdd43a4311da974abd26ac2a6030/View/FullText.html?navigationPath=RelatedInfo%2Fv4%2Fkeycite%2Fnav%2F%3ForigDocGuid%3DI1b908984331411d98b61a35269fc5f88&amp;listSource=RelatedInfo&amp;list=NegativeCitingReferences&amp;rank=0&amp;ppcid=382058a0d022479882e7932fd0dd5d7c&amp;originationContext=docHeader&amp;transitionType=NegativeTreatment&amp;contextData=%28sc.Default%29&amp;VR=3.0&amp;RS=cblt1.0"/>
  <Relationship Id="r10"
    Type="http://schemas.openxmlformats.org/officeDocument/2006/relationships/hyperlink"
    TargetMode="External"
    Target="http://www.westlaw.com/Link/Document/FullText?findType=h&amp;pubNum=176284&amp;cite=0111253901&amp;originatingDoc=I1b908984331411d98b61a35269fc5f88&amp;refType=RQ&amp;originationContext=document&amp;vr=3.0&amp;rs=cblt1.0&amp;transitionType=DocumentItem&amp;contextData=(sc.Default)"/>
  <Relationship Id="r11"
    Type="http://schemas.openxmlformats.org/officeDocument/2006/relationships/hyperlink"
    TargetMode="External"
    Target="http://www.westlaw.com/Link/Document/FullText?findType=h&amp;pubNum=176284&amp;cite=0218394601&amp;originatingDoc=I1b908984331411d98b61a35269fc5f88&amp;refType=RQ&amp;originationContext=document&amp;vr=3.0&amp;rs=cblt1.0&amp;transitionType=DocumentItem&amp;contextData=(sc.Default)"/>
  <Relationship Id="r12"
    Type="http://schemas.openxmlformats.org/officeDocument/2006/relationships/hyperlink"
    TargetMode="External"
    Target="http://www.westlaw.com/Link/Document/FullText?findType=h&amp;pubNum=176284&amp;cite=0148099301&amp;originatingDoc=I1b908984331411d98b61a35269fc5f88&amp;refType=RQ&amp;originationContext=document&amp;vr=3.0&amp;rs=cblt1.0&amp;transitionType=DocumentItem&amp;contextData=(sc.Default)"/>
  <Relationship Id="r13"
    Type="http://schemas.openxmlformats.org/officeDocument/2006/relationships/hyperlink"
    TargetMode="External"
    Target="http://www.westlaw.com/Link/Document/FullText?findType=h&amp;pubNum=176284&amp;cite=0189751101&amp;originatingDoc=I1b908984331411d98b61a35269fc5f88&amp;refType=RQ&amp;originationContext=document&amp;vr=3.0&amp;rs=cblt1.0&amp;transitionType=DocumentItem&amp;contextData=(sc.Default)"/>
  <Relationship Id="r14"
    Type="http://schemas.openxmlformats.org/officeDocument/2006/relationships/hyperlink"
    TargetMode="External"
    Target="http://www.westlaw.com/Link/Document/FullText?findType=h&amp;pubNum=176284&amp;cite=0148092801&amp;originatingDoc=I1b908984331411d98b61a35269fc5f88&amp;refType=RQ&amp;originationContext=document&amp;vr=3.0&amp;rs=cblt1.0&amp;transitionType=DocumentItem&amp;contextData=(sc.Default)"/>
  <Relationship Id="r15"
    Type="http://schemas.openxmlformats.org/officeDocument/2006/relationships/hyperlink"
    TargetMode="External"
    Target="http://www.westlaw.com/Link/Document/FullText?findType=L&amp;pubNum=1000265&amp;cite=MESTT14S801&amp;originatingDoc=I1b908984331411d98b61a35269fc5f88&amp;refType=LQ&amp;originationContext=document&amp;vr=3.0&amp;rs=cblt1.0&amp;transitionType=DocumentItem&amp;contextData=(sc.Default)"/>
  <Relationship Id="r16"
    Type="http://schemas.openxmlformats.org/officeDocument/2006/relationships/hyperlink"
    TargetMode="External"
    Target="http://www.westlaw.com/Link/Document/FullText?findType=L&amp;pubNum=1000265&amp;cite=MESTT14S801&amp;originatingDoc=I1b908984331411d98b61a35269fc5f88&amp;refType=LQ&amp;originationContext=document&amp;vr=3.0&amp;rs=cblt1.0&amp;transitionType=DocumentItem&amp;contextData=(sc.Default)"/>
  <Relationship Id="r17"
    Type="http://schemas.openxmlformats.org/officeDocument/2006/relationships/hyperlink"
    TargetMode="External"
    Target="http://www.westlaw.com/Link/Document/FullText?findType=L&amp;pubNum=1000546&amp;cite=43USCAS1301&amp;originatingDoc=I1b908984331411d98b61a35269fc5f88&amp;refType=LQ&amp;originationContext=document&amp;vr=3.0&amp;rs=cblt1.0&amp;transitionType=DocumentItem&amp;contextData=(sc.Default)"/>
  <Relationship Id="r18"
    Type="http://schemas.openxmlformats.org/officeDocument/2006/relationships/hyperlink"
    TargetMode="External"
    Target="http://www.westlaw.com/Link/Document/FullText?findType=L&amp;pubNum=1000546&amp;cite=43USCAS1315&amp;originatingDoc=I1b908984331411d98b61a35269fc5f88&amp;refType=LQ&amp;originationContext=document&amp;vr=3.0&amp;rs=cblt1.0&amp;transitionType=DocumentItem&amp;contextData=(sc.Default)"/>
  <Relationship Id="r19"
    Type="http://schemas.openxmlformats.org/officeDocument/2006/relationships/hyperlink"
    TargetMode="External"
    Target="http://www.westlaw.com/Link/Document/FullText?findType=Y&amp;serNum=1985119916&amp;pubNum=162&amp;originatingDoc=I1b908984331411d98b61a35269fc5f88&amp;refType=RP&amp;fi=co_pp_sp_162_1189&amp;originationContext=document&amp;vr=3.0&amp;rs=cblt1.0&amp;transitionType=DocumentItem&amp;contextData=(sc.Default)#co_pp_sp_162_1189"/>
  <Relationship Id="r20"
    Type="http://schemas.openxmlformats.org/officeDocument/2006/relationships/hyperlink"
    TargetMode="External"
    Target="http://www.westlaw.com/Link/Document/FullText?findType=Y&amp;serNum=1800146946&amp;pubNum=780&amp;originatingDoc=I1b908984331411d98b61a35269fc5f88&amp;refType=RP&amp;originationContext=document&amp;vr=3.0&amp;rs=cblt1.0&amp;transitionType=DocumentItem&amp;contextData=(sc.Default)"/>
  <Relationship Id="r21"
    Type="http://schemas.openxmlformats.org/officeDocument/2006/relationships/hyperlink"
    TargetMode="External"
    Target="http://www.westlaw.com/Link/Document/FullText?findType=Y&amp;serNum=1861002868&amp;pubNum=539&amp;originatingDoc=I1b908984331411d98b61a35269fc5f88&amp;refType=RP&amp;originationContext=document&amp;vr=3.0&amp;rs=cblt1.0&amp;transitionType=DocumentItem&amp;contextData=(sc.Default)"/>
  <Relationship Id="r22"
    Type="http://schemas.openxmlformats.org/officeDocument/2006/relationships/hyperlink"
    TargetMode="External"
    Target="http://www.westlaw.com/Link/Document/FullText?findType=Y&amp;serNum=1858002753&amp;pubNum=539&amp;originatingDoc=I1b908984331411d98b61a35269fc5f88&amp;refType=RP&amp;originationContext=document&amp;vr=3.0&amp;rs=cblt1.0&amp;transitionType=DocumentItem&amp;contextData=(sc.Default)"/>
  <Relationship Id="r23"
    Type="http://schemas.openxmlformats.org/officeDocument/2006/relationships/hyperlink"
    TargetMode="External"
    Target="http://www.westlaw.com/Link/Document/FullText?findType=Y&amp;serNum=1858003098&amp;pubNum=539&amp;originatingDoc=I1b908984331411d98b61a35269fc5f88&amp;refType=RP&amp;originationContext=document&amp;vr=3.0&amp;rs=cblt1.0&amp;transitionType=DocumentItem&amp;contextData=(sc.Default)"/>
  <Relationship Id="r24"
    Type="http://schemas.openxmlformats.org/officeDocument/2006/relationships/hyperlink"
    TargetMode="External"
    Target="http://www.westlaw.com/Link/Document/FullText?findType=Y&amp;serNum=1872005423&amp;pubNum=539&amp;originatingDoc=I1b908984331411d98b61a35269fc5f88&amp;refType=RP&amp;originationContext=document&amp;vr=3.0&amp;rs=cblt1.0&amp;transitionType=DocumentItem&amp;contextData=(sc.Default)"/>
  <Relationship Id="r25"
    Type="http://schemas.openxmlformats.org/officeDocument/2006/relationships/hyperlink"
    TargetMode="External"
    Target="https://1.next.westlaw.com/Link/RelatedInformation/Flag?documentGuid=I4e9e805c32da11d98b61a35269fc5f88&amp;transitionType=InlineKeyCiteFlags&amp;originationContext=docHeaderFlag&amp;Rank=0&amp;ppcid=382058a0d022479882e7932fd0dd5d7c&amp;contextData=(sc.Default)"/>
  <Relationship Id="r26"
    Type="http://schemas.openxmlformats.org/officeDocument/2006/relationships/hyperlink"
    TargetMode="External"
    Target="http://www.westlaw.com/Link/Document/FullText?findType=Y&amp;serNum=2002141875&amp;pubNum=162&amp;originatingDoc=I1b908984331411d98b61a35269fc5f88&amp;refType=RP&amp;fi=co_pp_sp_162_121&amp;originationContext=document&amp;vr=3.0&amp;rs=cblt1.0&amp;transitionType=DocumentItem&amp;contextData=(sc.Default)#co_pp_sp_162_121"/>
  <Relationship Id="r27"
    Type="http://schemas.openxmlformats.org/officeDocument/2006/relationships/image"
    Target="images/3.png"/>
  <Relationship Id="r28"
    Type="http://schemas.openxmlformats.org/officeDocument/2006/relationships/hyperlink"
    TargetMode="External"
    Target="https://1.next.westlaw.com/Link/RelatedInformation/Flag?documentGuid=Ibbe33e2732bd11d986b0aa9c82c164c0&amp;transitionType=InlineKeyCiteFlags&amp;originationContext=docHeaderFlag&amp;Rank=0&amp;ppcid=382058a0d022479882e7932fd0dd5d7c&amp;contextData=(sc.Default)"/>
  <Relationship Id="r29"
    Type="http://schemas.openxmlformats.org/officeDocument/2006/relationships/hyperlink"
    TargetMode="External"
    Target="http://www.westlaw.com/Link/Document/FullText?findType=Y&amp;serNum=2000577969&amp;pubNum=162&amp;originatingDoc=I1b908984331411d98b61a35269fc5f88&amp;refType=RP&amp;fi=co_pp_sp_162_242&amp;originationContext=document&amp;vr=3.0&amp;rs=cblt1.0&amp;transitionType=DocumentItem&amp;contextData=(sc.Default)#co_pp_sp_162_242"/>
  <Relationship Id="r30"
    Type="http://schemas.openxmlformats.org/officeDocument/2006/relationships/hyperlink"
    TargetMode="External"
    Target="http://www.westlaw.com/Link/Document/FullText?findType=L&amp;pubNum=1000546&amp;cite=10USCAS2663&amp;originatingDoc=I1b908984331411d98b61a35269fc5f88&amp;refType=LQ&amp;originationContext=document&amp;vr=3.0&amp;rs=cblt1.0&amp;transitionType=DocumentItem&amp;contextData=(sc.Default)"/>
  <Relationship Id="r31"
    Type="http://schemas.openxmlformats.org/officeDocument/2006/relationships/hyperlink"
    TargetMode="External"
    Target="https://1.next.westlaw.com/Link/RelatedInformation/Flag?documentGuid=ND60A84A0A35911D88B25BBE406C5D950&amp;transitionType=InlineKeyCiteFlags&amp;originationContext=docHeaderFlag&amp;Rank=0&amp;ppcid=382058a0d022479882e7932fd0dd5d7c&amp;contextData=(sc.Default)"/>
  <Relationship Id="r32"
    Type="http://schemas.openxmlformats.org/officeDocument/2006/relationships/hyperlink"
    TargetMode="External"
    Target="http://www.westlaw.com/Link/Document/FullText?findType=L&amp;pubNum=1000546&amp;cite=50USCAS171&amp;originatingDoc=I1b908984331411d98b61a35269fc5f88&amp;refType=LQ&amp;originationContext=document&amp;vr=3.0&amp;rs=cblt1.0&amp;transitionType=DocumentItem&amp;contextData=(sc.Default)"/>
  <Relationship Id="r33"
    Type="http://schemas.openxmlformats.org/officeDocument/2006/relationships/hyperlink"
    TargetMode="External"
    Target="http://www.westlaw.com/Link/Document/FullText?findType=Y&amp;serNum=1924120578&amp;pubNum=780&amp;originatingDoc=I1b908984331411d98b61a35269fc5f88&amp;refType=RP&amp;fi=co_pp_sp_780_151&amp;originationContext=document&amp;vr=3.0&amp;rs=cblt1.0&amp;transitionType=DocumentItem&amp;contextData=(sc.Default)#co_pp_sp_780_151"/>
  <Relationship Id="r34"
    Type="http://schemas.openxmlformats.org/officeDocument/2006/relationships/hyperlink"
    TargetMode="External"
    Target="https://1.next.westlaw.com/Link/RelatedInformation/Flag?documentGuid=Id4d343299c1d11d991d0cc6b54f12d4d&amp;transitionType=InlineKeyCiteFlags&amp;originationContext=docHeaderFlag&amp;Rank=0&amp;ppcid=382058a0d022479882e7932fd0dd5d7c&amp;contextData=(sc.Default)"/>
  <Relationship Id="r35"
    Type="http://schemas.openxmlformats.org/officeDocument/2006/relationships/hyperlink"
    TargetMode="External"
    Target="http://www.westlaw.com/Link/Document/FullText?findType=Y&amp;serNum=1958121459&amp;pubNum=780&amp;originatingDoc=I1b908984331411d98b61a35269fc5f88&amp;refType=RP&amp;fi=co_pp_sp_780_22&amp;originationContext=document&amp;vr=3.0&amp;rs=cblt1.0&amp;transitionType=DocumentItem&amp;contextData=(sc.Default)#co_pp_sp_780_22"/>
  <Relationship Id="r36"
    Type="http://schemas.openxmlformats.org/officeDocument/2006/relationships/image"
    Target="images/4.png"/>
  <Relationship Id="r37"
    Type="http://schemas.openxmlformats.org/officeDocument/2006/relationships/hyperlink"
    TargetMode="External"
    Target="https://1.next.westlaw.com/Link/RelatedInformation/Flag?documentGuid=I17856e549c1f11d993e6d35cc61aab4a&amp;transitionType=InlineKeyCiteFlags&amp;originationContext=docHeaderFlag&amp;Rank=0&amp;ppcid=382058a0d022479882e7932fd0dd5d7c&amp;contextData=(sc.Default)"/>
  <Relationship Id="r38"
    Type="http://schemas.openxmlformats.org/officeDocument/2006/relationships/hyperlink"
    TargetMode="External"
    Target="http://www.westlaw.com/Link/Document/FullText?findType=Y&amp;serNum=1945116606&amp;pubNum=780&amp;originatingDoc=I1b908984331411d98b61a35269fc5f88&amp;refType=RP&amp;fi=co_pp_sp_780_390&amp;originationContext=document&amp;vr=3.0&amp;rs=cblt1.0&amp;transitionType=DocumentItem&amp;contextData=(sc.Default)#co_pp_sp_780_390"/>
  <Relationship Id="r39"
    Type="http://schemas.openxmlformats.org/officeDocument/2006/relationships/hyperlink"
    TargetMode="External"
    Target="https://1.next.westlaw.com/Link/RelatedInformation/Flag?documentGuid=Ic3f2fadb556111d997e0acd5cbb90d3f&amp;transitionType=InlineKeyCiteFlags&amp;originationContext=docHeaderFlag&amp;Rank=0&amp;ppcid=382058a0d022479882e7932fd0dd5d7c&amp;contextData=(sc.Default)"/>
  <Relationship Id="r40"
    Type="http://schemas.openxmlformats.org/officeDocument/2006/relationships/hyperlink"
    TargetMode="External"
    Target="http://www.westlaw.com/Link/Document/FullText?findType=Y&amp;serNum=1981136074&amp;pubNum=345&amp;originatingDoc=I1b908984331411d98b61a35269fc5f88&amp;refType=RP&amp;fi=co_pp_sp_345_122&amp;originationContext=document&amp;vr=3.0&amp;rs=cblt1.0&amp;transitionType=DocumentItem&amp;contextData=(sc.Default)#co_pp_sp_345_122"/>
  <Relationship Id="r41"
    Type="http://schemas.openxmlformats.org/officeDocument/2006/relationships/hyperlink"
    TargetMode="External"
    Target="https://1.next.westlaw.com/Link/RelatedInformation/Flag?documentGuid=I190c6e1c9cbc11d993e6d35cc61aab4a&amp;transitionType=InlineKeyCiteFlags&amp;originationContext=docHeaderFlag&amp;Rank=0&amp;ppcid=382058a0d022479882e7932fd0dd5d7c&amp;contextData=(sc.Default)"/>
  <Relationship Id="r42"
    Type="http://schemas.openxmlformats.org/officeDocument/2006/relationships/hyperlink"
    TargetMode="External"
    Target="http://www.westlaw.com/Link/Document/FullText?findType=Y&amp;serNum=1892180249&amp;pubNum=780&amp;originatingDoc=I1b908984331411d98b61a35269fc5f88&amp;refType=RP&amp;originationContext=document&amp;vr=3.0&amp;rs=cblt1.0&amp;transitionType=DocumentItem&amp;contextData=(sc.Default)"/>
  <Relationship Id="r43"
    Type="http://schemas.openxmlformats.org/officeDocument/2006/relationships/hyperlink"
    TargetMode="External"
    Target="https://1.next.westlaw.com/Link/RelatedInformation/Flag?documentGuid=I190c6e1c9cbc11d993e6d35cc61aab4a&amp;transitionType=InlineKeyCiteFlags&amp;originationContext=docHeaderFlag&amp;Rank=0&amp;ppcid=382058a0d022479882e7932fd0dd5d7c&amp;contextData=(sc.Default)"/>
  <Relationship Id="r44"
    Type="http://schemas.openxmlformats.org/officeDocument/2006/relationships/hyperlink"
    TargetMode="External"
    Target="http://www.westlaw.com/Link/Document/FullText?findType=Y&amp;serNum=1892180249&amp;pubNum=780&amp;originatingDoc=I1b908984331411d98b61a35269fc5f88&amp;refType=RP&amp;fi=co_pp_sp_780_453&amp;originationContext=document&amp;vr=3.0&amp;rs=cblt1.0&amp;transitionType=DocumentItem&amp;contextData=(sc.Default)#co_pp_sp_780_453"/>
  <Relationship Id="r45"
    Type="http://schemas.openxmlformats.org/officeDocument/2006/relationships/hyperlink"
    TargetMode="External"
    Target="https://1.next.westlaw.com/Link/RelatedInformation/Flag?documentGuid=Ic3f2fadb556111d997e0acd5cbb90d3f&amp;transitionType=InlineKeyCiteFlags&amp;originationContext=docHeaderFlag&amp;Rank=0&amp;ppcid=382058a0d022479882e7932fd0dd5d7c&amp;contextData=(sc.Default)"/>
  <Relationship Id="r46"
    Type="http://schemas.openxmlformats.org/officeDocument/2006/relationships/hyperlink"
    TargetMode="External"
    Target="http://www.westlaw.com/Link/Document/FullText?findType=Y&amp;serNum=1981136074&amp;pubNum=345&amp;originatingDoc=I1b908984331411d98b61a35269fc5f88&amp;refType=RP&amp;fi=co_pp_sp_345_124&amp;originationContext=document&amp;vr=3.0&amp;rs=cblt1.0&amp;transitionType=DocumentItem&amp;contextData=(sc.Default)#co_pp_sp_345_124"/>
  <Relationship Id="r47"
    Type="http://schemas.openxmlformats.org/officeDocument/2006/relationships/hyperlink"
    TargetMode="External"
    Target="https://1.next.westlaw.com/Link/RelatedInformation/Flag?documentGuid=Ic3f2fadb556111d997e0acd5cbb90d3f&amp;transitionType=InlineKeyCiteFlags&amp;originationContext=docHeaderFlag&amp;Rank=0&amp;ppcid=382058a0d022479882e7932fd0dd5d7c&amp;contextData=(sc.Default)"/>
  <Relationship Id="r48"
    Type="http://schemas.openxmlformats.org/officeDocument/2006/relationships/hyperlink"
    TargetMode="External"
    Target="http://www.westlaw.com/Link/Document/FullText?findType=Y&amp;serNum=1981136074&amp;originatingDoc=I1b908984331411d98b61a35269fc5f88&amp;refType=RP&amp;originationContext=document&amp;vr=3.0&amp;rs=cblt1.0&amp;transitionType=DocumentItem&amp;contextData=(sc.Default)"/>
  <Relationship Id="r49"
    Type="http://schemas.openxmlformats.org/officeDocument/2006/relationships/hyperlink"
    TargetMode="External"
    Target="http://www.westlaw.com/Link/Document/FullText?findType=Y&amp;serNum=1986132326&amp;pubNum=345&amp;originatingDoc=I1b908984331411d98b61a35269fc5f88&amp;refType=RP&amp;fi=co_pp_sp_345_1450&amp;originationContext=document&amp;vr=3.0&amp;rs=cblt1.0&amp;transitionType=DocumentItem&amp;contextData=(sc.Default)#co_pp_sp_345_1450"/>
  <Relationship Id="r50"
    Type="http://schemas.openxmlformats.org/officeDocument/2006/relationships/hyperlink"
    TargetMode="External"
    Target="http://www.westlaw.com/Link/Document/FullText?findType=Y&amp;serNum=1986132326&amp;pubNum=345&amp;originatingDoc=I1b908984331411d98b61a35269fc5f88&amp;refType=RP&amp;fi=co_pp_sp_345_1450&amp;originationContext=document&amp;vr=3.0&amp;rs=cblt1.0&amp;transitionType=DocumentItem&amp;contextData=(sc.Default)#co_pp_sp_345_1450"/>
  <Relationship Id="r51"
    Type="http://schemas.openxmlformats.org/officeDocument/2006/relationships/hyperlink"
    TargetMode="External"
    Target="https://1.next.westlaw.com/Link/RelatedInformation/Flag?documentGuid=I190c6e1c9cbc11d993e6d35cc61aab4a&amp;transitionType=InlineKeyCiteFlags&amp;originationContext=docHeaderFlag&amp;Rank=0&amp;ppcid=382058a0d022479882e7932fd0dd5d7c&amp;contextData=(sc.Default)"/>
  <Relationship Id="r52"
    Type="http://schemas.openxmlformats.org/officeDocument/2006/relationships/hyperlink"
    TargetMode="External"
    Target="http://www.westlaw.com/Link/Document/FullText?findType=Y&amp;serNum=1892180249&amp;pubNum=780&amp;originatingDoc=I1b908984331411d98b61a35269fc5f88&amp;refType=RP&amp;originationContext=document&amp;vr=3.0&amp;rs=cblt1.0&amp;transitionType=DocumentItem&amp;contextData=(sc.Default)"/>
  <Relationship Id="r53"
    Type="http://schemas.openxmlformats.org/officeDocument/2006/relationships/hyperlink"
    TargetMode="External"
    Target="https://1.next.westlaw.com/Link/RelatedInformation/Flag?documentGuid=Id02d2f8255a411d9a99c85a9e6023ffa&amp;transitionType=InlineKeyCiteFlags&amp;originationContext=docHeaderFlag&amp;Rank=0&amp;ppcid=382058a0d022479882e7932fd0dd5d7c&amp;contextData=(sc.Default)"/>
  <Relationship Id="r54"
    Type="http://schemas.openxmlformats.org/officeDocument/2006/relationships/hyperlink"
    TargetMode="External"
    Target="http://www.westlaw.com/Link/Document/FullText?findType=Y&amp;serNum=1988069735&amp;pubNum=345&amp;originatingDoc=I1b908984331411d98b61a35269fc5f88&amp;refType=RP&amp;originationContext=document&amp;vr=3.0&amp;rs=cblt1.0&amp;transitionType=DocumentItem&amp;contextData=(sc.Default)"/>
  <Relationship Id="r55"
    Type="http://schemas.openxmlformats.org/officeDocument/2006/relationships/hyperlink"
    TargetMode="External"
    Target="https://1.next.westlaw.com/Link/RelatedInformation/Flag?documentGuid=Ic83b55ba9be811d991d0cc6b54f12d4d&amp;transitionType=InlineKeyCiteFlags&amp;originationContext=docHeaderFlag&amp;Rank=0&amp;ppcid=382058a0d022479882e7932fd0dd5d7c&amp;contextData=(sc.Default)"/>
  <Relationship Id="r56"
    Type="http://schemas.openxmlformats.org/officeDocument/2006/relationships/hyperlink"
    TargetMode="External"
    Target="http://www.westlaw.com/Link/Document/FullText?findType=Y&amp;serNum=1973137120&amp;pubNum=780&amp;originatingDoc=I1b908984331411d98b61a35269fc5f88&amp;refType=RP&amp;fi=co_pp_sp_780_319&amp;originationContext=document&amp;vr=3.0&amp;rs=cblt1.0&amp;transitionType=DocumentItem&amp;contextData=(sc.Default)#co_pp_sp_780_319"/>
  <Relationship Id="r57"
    Type="http://schemas.openxmlformats.org/officeDocument/2006/relationships/hyperlink"
    TargetMode="External"
    Target="http://www.westlaw.com/Link/Document/FullText?findType=Y&amp;serNum=1981147364&amp;pubNum=162&amp;originatingDoc=I1b908984331411d98b61a35269fc5f88&amp;refType=RP&amp;originationContext=document&amp;vr=3.0&amp;rs=cblt1.0&amp;transitionType=DocumentItem&amp;contextData=(sc.Default)"/>
  <Relationship Id="r58"
    Type="http://schemas.openxmlformats.org/officeDocument/2006/relationships/hyperlink"
    TargetMode="External"
    Target="http://www.westlaw.com/Link/Document/FullText?findType=L&amp;pubNum=1006358&amp;cite=MERRCPR79&amp;originatingDoc=I1b908984331411d98b61a35269fc5f88&amp;refType=LQ&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1b908984331411d98b61a35269fc5f88_Targe"/>
      <w:bookmarkEnd w:id="1"/>
    </w:p>
    <w:bookmarkEnd w:id="0"/>
    <w:bookmarkStart w:id="2" w:name="co_readingModeKC_1"/>
    <w:bookmarkStart w:id="3" w:name="co_readingModeCitatorFlag_1"/>
    <w:p>
      <w:pPr>
        <w:spacing w:before="0" w:after="0" w:line="235" w:lineRule="atLeast"/>
        <w:jc w:val="both"/>
      </w:pPr>
      <w:hyperlink r:id="r7">
        <w:r>
          <w:rPr>
            <w:rFonts w:ascii="Times New Roman" w:hAnsi="Times New Roman"/>
            <w:color w:val="000000"/>
            <w:sz w:val="30"/>
          </w:rPr>
          <w:drawing>
            <wp:inline>
              <wp:extent cx="161925" cy="161925"/>
              <wp:docPr id="1" name="Picture 1" descr="KeyCite Red Flag - Severe Negative Treatment"/>
              <a:graphic>
                <a:graphicData uri="http://schemas.openxmlformats.org/drawingml/2006/picture">
                  <p:pic>
                    <p:nvPicPr>
                      <p:cNvPr id="2" name="Picture 1" descr="KeyCite Red Flag - Severe Negative Treatment"/>
                      <p:cNvPicPr/>
                    </p:nvPicPr>
                    <p:blipFill>
                      <a:blip r:embed="r8"/>
                      <a:srcRect/>
                      <a:stretch>
                        <a:fillRect/>
                      </a:stretch>
                    </p:blipFill>
                    <p:spPr>
                      <a:xfrm>
                        <a:off x="0" y="0"/>
                        <a:ext cx="161925" cy="161925"/>
                      </a:xfrm>
                      <a:prstGeom prst="rect"/>
                    </p:spPr>
                  </p:pic>
                </a:graphicData>
              </a:graphic>
            </wp:inline>
          </w:drawing>
        </w:r>
      </w:hyperlink>
      <w:r>
        <w:rPr>
          <w:rFonts w:ascii="Times New Roman" w:hAnsi="Times New Roman"/>
          <w:color w:val="000000"/>
          <w:sz w:val="16"/>
        </w:rPr>
        <w:t>KeyCite Red Flag - Severe Negative Treatment</w:t>
      </w:r>
    </w:p>
    <w:bookmarkEnd w:id="3"/>
    <w:bookmarkEnd w:id="2"/>
    <w:bookmarkStart w:id="4" w:name="co_readingModeNegativeTreatment_1"/>
    <w:p>
      <w:pPr>
        <w:spacing w:before="0" w:after="0" w:line="235" w:lineRule="atLeast"/>
        <w:jc w:val="both"/>
      </w:pPr>
      <w:r>
        <w:rPr>
          <w:rFonts w:ascii="Times New Roman" w:hAnsi="Times New Roman"/>
          <w:color w:val="000000"/>
          <w:sz w:val="16"/>
        </w:rPr>
        <w:t> </w:t>
      </w:r>
      <w:r>
        <w:rPr>
          <w:rFonts w:ascii="Times New Roman" w:hAnsi="Times New Roman"/>
          <w:color w:val="000000"/>
          <w:sz w:val="16"/>
        </w:rPr>
        <w:tab/>
      </w:r>
      <w:r>
        <w:rPr>
          <w:rFonts w:ascii="Times New Roman" w:hAnsi="Times New Roman"/>
          <w:color w:val="000000"/>
          <w:sz w:val="16"/>
        </w:rPr>
        <w:t xml:space="preserve">Judgment Affirmed in Part, Vacated in Part by </w:t>
      </w:r>
      <w:hyperlink r:id="r9">
        <w:r>
          <w:rPr>
            <w:rFonts w:ascii="Times New Roman" w:hAnsi="Times New Roman"/>
            <w:color w:val="000000"/>
            <w:sz w:val="16"/>
          </w:rPr>
          <w:t>Norton v. Town of Long Island</w:t>
        </w:r>
        <w:r>
          <w:rPr>
            <w:rFonts w:ascii="Times New Roman" w:hAnsi="Times New Roman"/>
            <w:color w:val="000000"/>
            <w:sz w:val="16"/>
          </w:rPr>
          <w:t xml:space="preserve">, </w:t>
        </w:r>
      </w:hyperlink>
      <w:r>
        <w:rPr>
          <w:rFonts w:ascii="Times New Roman" w:hAnsi="Times New Roman"/>
          <w:color w:val="000000"/>
          <w:sz w:val="16"/>
        </w:rPr>
        <w:t xml:space="preserve">Me., </w:t>
      </w:r>
      <w:r>
        <w:rPr>
          <w:rFonts w:ascii="Times New Roman" w:hAnsi="Times New Roman"/>
          <w:color w:val="000000"/>
          <w:sz w:val="16"/>
        </w:rPr>
        <w:t>October 11, 2005</w:t>
      </w:r>
    </w:p>
    <w:bookmarkEnd w:id="4"/>
    <w:p>
      <w:pPr>
        <w:spacing w:before="180" w:after="0" w:line="275" w:lineRule="atLeast"/>
        <w:jc w:val="center"/>
      </w:pPr>
      <w:r>
        <w:rPr>
          <w:rFonts w:ascii="georgia" w:hAnsi="georgia"/>
          <w:color w:val="000000"/>
          <w:sz w:val="20"/>
        </w:rPr>
        <w:t>2004 WL 2185976</w:t>
      </w:r>
    </w:p>
    <w:p>
      <w:pPr>
        <w:spacing w:before="0" w:after="0" w:line="275" w:lineRule="atLeast"/>
        <w:jc w:val="center"/>
      </w:pPr>
      <w:r>
        <w:rPr>
          <w:rFonts w:ascii="georgia" w:hAnsi="georgia"/>
          <w:color w:val="000000"/>
          <w:sz w:val="20"/>
        </w:rPr>
        <w:t>Only the Westlaw citation is currently available.</w:t>
      </w:r>
    </w:p>
    <w:p>
      <w:pPr>
        <w:spacing w:before="0" w:after="0" w:line="275" w:lineRule="atLeast"/>
        <w:jc w:val="center"/>
      </w:pPr>
      <w:r>
        <w:rPr>
          <w:rFonts w:ascii="georgia" w:hAnsi="georgia"/>
          <w:color w:val="000000"/>
          <w:sz w:val="20"/>
        </w:rPr>
        <w:t>Superior Court of Maine.</w:t>
      </w:r>
    </w:p>
    <w:p>
      <w:pPr>
        <w:spacing w:before="200" w:after="0" w:line="300" w:lineRule="atLeast"/>
        <w:ind w:left="100" w:right="100" w:firstLine="0"/>
        <w:jc w:val="center"/>
      </w:pPr>
      <w:r>
        <w:rPr>
          <w:rFonts w:ascii="georgia" w:hAnsi="georgia"/>
          <w:color w:val="252525"/>
          <w:sz w:val="20"/>
        </w:rPr>
        <w:t>John NORTON, Jr. as Personal Representative of the Estate of John Norton, Sr. Plaintiff</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TOWN OF LONG ISLAND and State of Maine, Defendants</w:t>
      </w:r>
    </w:p>
    <w:p>
      <w:pPr>
        <w:pBdr>
          <w:left w:val="none" w:space="8"/>
        </w:pBdr>
        <w:spacing w:before="200" w:after="0" w:line="275" w:lineRule="atLeast"/>
        <w:ind w:left="150" w:right="0" w:firstLine="0"/>
        <w:jc w:val="center"/>
      </w:pPr>
      <w:r>
        <w:rPr>
          <w:rFonts w:ascii="georgia" w:hAnsi="georgia"/>
          <w:color w:val="000000"/>
          <w:sz w:val="20"/>
        </w:rPr>
        <w:t>No. Civ.A. RE-02-014.</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Aug. 2, 2004.</w:t>
      </w:r>
    </w:p>
    <w:bookmarkStart w:id="5" w:name="co_attorneysAndLawFirms_1"/>
    <w:p>
      <w:pPr>
        <w:keepNext/>
        <w:keepLines/>
        <w:spacing w:before="400" w:after="0" w:line="275" w:lineRule="atLeast"/>
        <w:jc w:val="both"/>
      </w:pPr>
      <w:r>
        <w:rPr>
          <w:rFonts w:ascii="Times New Roman" w:hAnsi="Times New Roman"/>
          <w:b/>
          <w:color w:val="212121"/>
          <w:sz w:val="20"/>
        </w:rPr>
        <w:t>Attorneys and Law Firms</w:t>
      </w:r>
    </w:p>
    <w:bookmarkEnd w:id="5"/>
    <w:p>
      <w:pPr>
        <w:spacing w:before="200" w:after="0" w:line="275" w:lineRule="atLeast"/>
        <w:jc w:val="both"/>
      </w:pPr>
      <w:hyperlink r:id="r10">
        <w:r>
          <w:rPr>
            <w:rFonts w:ascii="Times New Roman" w:hAnsi="Times New Roman"/>
            <w:color w:val="000000"/>
            <w:sz w:val="20"/>
          </w:rPr>
          <w:t>John Campbell</w:t>
        </w:r>
      </w:hyperlink>
      <w:r>
        <w:rPr>
          <w:rFonts w:ascii="Times New Roman" w:hAnsi="Times New Roman"/>
          <w:color w:val="000000"/>
          <w:sz w:val="20"/>
        </w:rPr>
        <w:t>, Portland ME, for Plaintiff.</w:t>
      </w:r>
    </w:p>
    <w:p>
      <w:pPr>
        <w:spacing w:before="200" w:after="0" w:line="275" w:lineRule="atLeast"/>
        <w:jc w:val="both"/>
      </w:pPr>
      <w:hyperlink r:id="r11">
        <w:r>
          <w:rPr>
            <w:rFonts w:ascii="Times New Roman" w:hAnsi="Times New Roman"/>
            <w:color w:val="000000"/>
            <w:sz w:val="20"/>
          </w:rPr>
          <w:t>Paul Johnson</w:t>
        </w:r>
      </w:hyperlink>
      <w:r>
        <w:rPr>
          <w:rFonts w:ascii="Times New Roman" w:hAnsi="Times New Roman"/>
          <w:color w:val="000000"/>
          <w:sz w:val="20"/>
        </w:rPr>
        <w:t xml:space="preserve">, </w:t>
      </w:r>
      <w:hyperlink r:id="r12">
        <w:r>
          <w:rPr>
            <w:rFonts w:ascii="Times New Roman" w:hAnsi="Times New Roman"/>
            <w:color w:val="000000"/>
            <w:sz w:val="20"/>
          </w:rPr>
          <w:t>John Whitman</w:t>
        </w:r>
      </w:hyperlink>
      <w:r>
        <w:rPr>
          <w:rFonts w:ascii="Times New Roman" w:hAnsi="Times New Roman"/>
          <w:color w:val="000000"/>
          <w:sz w:val="20"/>
        </w:rPr>
        <w:t>, Richardson Whitman Large &amp; Badger, Portland ME, for Def. Town.</w:t>
      </w:r>
    </w:p>
    <w:p>
      <w:pPr>
        <w:spacing w:before="200" w:after="0" w:line="275" w:lineRule="atLeast"/>
        <w:jc w:val="both"/>
      </w:pPr>
      <w:hyperlink r:id="r13">
        <w:r>
          <w:rPr>
            <w:rFonts w:ascii="Times New Roman" w:hAnsi="Times New Roman"/>
            <w:color w:val="000000"/>
            <w:sz w:val="20"/>
          </w:rPr>
          <w:t>Robert Crawford</w:t>
        </w:r>
      </w:hyperlink>
      <w:r>
        <w:rPr>
          <w:rFonts w:ascii="Times New Roman" w:hAnsi="Times New Roman"/>
          <w:color w:val="000000"/>
          <w:sz w:val="20"/>
        </w:rPr>
        <w:t>, Bernstein Shur Sawyer &amp; Nelson, Portland ME, for Def. Town.</w:t>
      </w:r>
    </w:p>
    <w:p>
      <w:pPr>
        <w:spacing w:before="200" w:after="0" w:line="275" w:lineRule="atLeast"/>
        <w:jc w:val="both"/>
      </w:pPr>
      <w:r>
        <w:rPr>
          <w:rFonts w:ascii="Times New Roman" w:hAnsi="Times New Roman"/>
          <w:color w:val="000000"/>
          <w:sz w:val="20"/>
        </w:rPr>
        <w:t>Dennis Harnish AAG, Dept of the Attorney General, Augusta ME, for Def. St. of ME.</w:t>
      </w:r>
    </w:p>
    <w:bookmarkStart w:id="6" w:name="co_opinion_1"/>
    <w:bookmarkStart w:id="7" w:name="co_anchor_I5591a26badbf11de9b8c85033233"/>
    <w:bookmarkStart w:id="8" w:name="co_anchor_I5591a26dadbf11de9b8c85033233"/>
    <w:bookmarkStart w:id="9" w:name="co_anchor_I5591a26dadbf11de9b8c850332"/>
    <w:p>
      <w:pPr>
        <w:spacing w:before="800" w:after="0" w:line="275" w:lineRule="atLeast"/>
        <w:jc w:val="center"/>
      </w:pPr>
      <w:r>
        <w:rPr>
          <w:rFonts w:ascii="Times New Roman" w:hAnsi="Times New Roman"/>
          <w:color w:val="000000"/>
          <w:sz w:val="20"/>
        </w:rPr>
        <w:t>DECISION</w:t>
      </w:r>
    </w:p>
    <w:bookmarkEnd w:id="9"/>
    <w:bookmarkEnd w:id="8"/>
    <w:bookmarkEnd w:id="7"/>
    <w:bookmarkEnd w:id="6"/>
    <w:p>
      <w:pPr>
        <w:spacing w:before="400" w:after="0" w:line="275" w:lineRule="atLeast"/>
        <w:jc w:val="both"/>
      </w:pPr>
      <w:hyperlink r:id="r14">
        <w:r>
          <w:rPr>
            <w:rFonts w:ascii="Times New Roman" w:hAnsi="Times New Roman"/>
            <w:color w:val="000000"/>
            <w:sz w:val="20"/>
          </w:rPr>
          <w:t>CROWLEY</w:t>
        </w:r>
      </w:hyperlink>
      <w:r>
        <w:rPr>
          <w:rFonts w:ascii="Times New Roman" w:hAnsi="Times New Roman"/>
          <w:color w:val="000000"/>
          <w:sz w:val="20"/>
        </w:rPr>
        <w:t>, J.</w:t>
      </w:r>
    </w:p>
    <w:bookmarkStart w:id="10" w:name="co_anchor_I5591a26eadbf11de9b8c85033233"/>
    <w:bookmarkStart w:id="11" w:name="co_anchor_I5591a26eadbf11de9b8c850332"/>
    <w:p>
      <w:pPr>
        <w:spacing w:before="800" w:after="0" w:line="275" w:lineRule="atLeast"/>
        <w:jc w:val="center"/>
      </w:pPr>
      <w:r>
        <w:rPr>
          <w:rFonts w:ascii="Times New Roman" w:hAnsi="Times New Roman"/>
          <w:i/>
          <w:color w:val="000000"/>
          <w:sz w:val="20"/>
        </w:rPr>
        <w:t>BACKGROUND</w:t>
      </w:r>
    </w:p>
    <w:bookmarkEnd w:id="11"/>
    <w:bookmarkEnd w:id="10"/>
    <w:p>
      <w:pPr>
        <w:spacing w:before="200" w:after="0" w:line="275" w:lineRule="atLeast"/>
        <w:jc w:val="both"/>
      </w:pPr>
      <w:bookmarkStart w:id="12" w:name="co_pp_sp_999_1_1"/>
      <w:r>
        <w:rPr>
          <w:rFonts w:ascii="Times New Roman" w:hAnsi="Times New Roman"/>
          <w:b/>
          <w:color w:val="000000"/>
          <w:sz w:val="20"/>
        </w:rPr>
        <w:t>*1</w:t>
      </w:r>
      <w:bookmarkEnd w:id="12"/>
      <w:r>
        <w:rPr>
          <w:rFonts w:ascii="Times New Roman" w:hAnsi="Times New Roman"/>
          <w:color w:val="000000"/>
          <w:sz w:val="20"/>
        </w:rPr>
        <w:t xml:space="preserve"> The plaintiff John Norton, Jr. is the personal representative of the Estate of John Norton, Sr., deceased. The defendants are the State of Maine and the Town of Long Island, which was formerly a part of the City of Portland and is situated in Casco Bay, Cumberland County, Maine. The plaintiff, in his Second Amended Complaint, seeks to quiet title to Island Avenue and Marginal Way against defendant Town of Long Island (Count I). In Count II of the complaint the plaintiff seeks to quiet title against defendant Town of Long Island to submerged lands adjacent to the uplands (“submerged lands”), which were acquired by deed from the United States of America acting through the General Service Administrator. Count III seeks damages caused by the defendant Town of Long Island and claims unjust enrichment. Count IV seeks to quiet title to “submerged lands” against the defendant State of Maine and seeks injunctive relief against both defendants.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Count I was dismissed by the court on </w:t>
      </w:r>
      <w:r>
        <w:rPr>
          <w:rFonts w:ascii="Times New Roman" w:hAnsi="Times New Roman"/>
          <w:i/>
          <w:color w:val="000000"/>
          <w:sz w:val="20"/>
        </w:rPr>
        <w:t>res judicata</w:t>
      </w:r>
      <w:r>
        <w:rPr>
          <w:rFonts w:ascii="Times New Roman" w:hAnsi="Times New Roman"/>
          <w:color w:val="000000"/>
          <w:sz w:val="20"/>
        </w:rPr>
        <w:t xml:space="preserve"> grounds on July 2, 2002. A jury-waived trial was held on Counts II, III and IV on July 20 and 21, 2004.</w:t>
      </w:r>
    </w:p>
    <w:p>
      <w:pPr>
        <w:spacing w:before="0" w:after="0" w:line="275" w:lineRule="atLeast"/>
        <w:jc w:val="both"/>
      </w:pPr>
      <w:r>
        <w:rPr>
          <w:rFonts w:ascii="Times New Roman" w:hAnsi="Times New Roman"/>
          <w:color w:val="000000"/>
          <w:sz w:val="20"/>
        </w:rPr>
        <w:t> </w:t>
      </w:r>
    </w:p>
    <w:bookmarkStart w:id="13" w:name="co_anchor_I5591a26fadbf11de9b8c85033233"/>
    <w:bookmarkStart w:id="14" w:name="co_anchor_I5591a26fadbf11de9b8c850332"/>
    <w:p>
      <w:pPr>
        <w:spacing w:before="600" w:after="0" w:line="275" w:lineRule="atLeast"/>
        <w:jc w:val="center"/>
      </w:pPr>
      <w:r>
        <w:rPr>
          <w:rFonts w:ascii="Times New Roman" w:hAnsi="Times New Roman"/>
          <w:i/>
          <w:color w:val="000000"/>
          <w:sz w:val="20"/>
        </w:rPr>
        <w:t>FINDINGS OF FACT</w:t>
      </w:r>
    </w:p>
    <w:bookmarkEnd w:id="14"/>
    <w:bookmarkEnd w:id="13"/>
    <w:p>
      <w:pPr>
        <w:spacing w:before="200" w:after="0" w:line="275" w:lineRule="atLeast"/>
        <w:jc w:val="both"/>
      </w:pPr>
      <w:r>
        <w:rPr>
          <w:rFonts w:ascii="Times New Roman" w:hAnsi="Times New Roman"/>
          <w:color w:val="000000"/>
          <w:sz w:val="20"/>
        </w:rPr>
        <w:t>In the 1940's, as part of the World War II war effort, the United States Navy constructed and operated a Naval Fuel Annex on a parcel of land on Long Island in Casco Bay. This facility was served by a structure that extended into the adjacent waters of Casco Bay and included Pier ‘H’ which extended seaward from upland acquired by the United States Government by condemnation and later conveyed to the plaintiff's decedent. From the seaward end of Pier H an additional dock supported on pilings extended farther seaward. One or more wooden structures were built on or adjacent to this dock, and filling submerged land created an angled breakwater. The breakwater was attached to the seaward end of the extended dock. Together, the breakwater, dock and Pier H partially enclosed an area of Casco Bay and provided protection from the seas of Casco Bay. This partially enclosed area was referred to as the “Small Boat Pool.” It is the Small Boat Pool and submerged land beneath it which is the principal subject of this case.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From the time of its construction and throughout the time that the property was operated as a Navy installation, the Small Boat Pool was not accessible by land because the upland Navy facility was fenced and guarded and access to the Small Boat Pool by sea was completely and exclusively regulated by the Navy.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From at least the early 1970's to his death, John Norton, Sr. considered the Small Boat Pool to be his property, and he and John Norton, Jr. exercised control over the pool consistent with their claim of exclusive ownership. They allowed certain boats to moor in the pool and excluded others. There is no evidence that the City of Portland or the Town of Long Island ever acceded to the Nortons' claim of ownership.</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plaintiff's claims to the submerged lands are based upon four deeds from the United States of America acting by and through the Administrator of General Services. The first deed, to John S. Norton and Peter K. Lawson, is a quitclaim deed without covenant dated February 14, 1964 and recorded in the Cumberland County Registry of Deeds in Book 2805 Page 421. </w:t>
      </w:r>
      <w:r>
        <w:rPr>
          <w:rFonts w:ascii="Times New Roman" w:hAnsi="Times New Roman"/>
          <w:i/>
          <w:color w:val="000000"/>
          <w:sz w:val="20"/>
        </w:rPr>
        <w:t>See</w:t>
      </w:r>
      <w:r>
        <w:rPr>
          <w:rFonts w:ascii="Times New Roman" w:hAnsi="Times New Roman"/>
          <w:color w:val="000000"/>
          <w:sz w:val="20"/>
        </w:rPr>
        <w:t xml:space="preserve"> Ex. 52. That deed conveys upland on Long Island and is bounded on the north by the high water mark of Casco Bay. </w:t>
      </w:r>
      <w:r>
        <w:rPr>
          <w:rFonts w:ascii="Times New Roman" w:hAnsi="Times New Roman"/>
          <w:i/>
          <w:color w:val="000000"/>
          <w:sz w:val="20"/>
        </w:rPr>
        <w:t>See</w:t>
      </w:r>
      <w:r>
        <w:rPr>
          <w:rFonts w:ascii="Times New Roman" w:hAnsi="Times New Roman"/>
          <w:color w:val="000000"/>
          <w:sz w:val="20"/>
        </w:rPr>
        <w:t xml:space="preserve"> </w:t>
      </w:r>
      <w:r>
        <w:rPr>
          <w:rFonts w:ascii="Times New Roman" w:hAnsi="Times New Roman"/>
          <w:i/>
          <w:color w:val="000000"/>
          <w:sz w:val="20"/>
        </w:rPr>
        <w:t>id.</w:t>
      </w:r>
      <w:r>
        <w:rPr>
          <w:rFonts w:ascii="Times New Roman" w:hAnsi="Times New Roman"/>
          <w:color w:val="000000"/>
          <w:sz w:val="20"/>
        </w:rPr>
        <w:t xml:space="preserve"> The deed recites that the conveyance “contain [s] 5.6 acres of land, more or less” and is “a portion of the land acquired by the United States of America on March 30, 1943 by condemnation proceedings entitled ‘United States of America vs. 5.98 acres, more or less, located on Long Island, Portland, Cumberland County, State of Maine ...” </w:t>
      </w:r>
      <w:r>
        <w:rPr>
          <w:rFonts w:ascii="Times New Roman" w:hAnsi="Times New Roman"/>
          <w:i/>
          <w:color w:val="000000"/>
          <w:sz w:val="20"/>
        </w:rPr>
        <w:t>See</w:t>
      </w:r>
      <w:r>
        <w:rPr>
          <w:rFonts w:ascii="Times New Roman" w:hAnsi="Times New Roman"/>
          <w:color w:val="000000"/>
          <w:sz w:val="20"/>
        </w:rPr>
        <w:t xml:space="preserve"> </w:t>
      </w:r>
      <w:r>
        <w:rPr>
          <w:rFonts w:ascii="Times New Roman" w:hAnsi="Times New Roman"/>
          <w:i/>
          <w:color w:val="000000"/>
          <w:sz w:val="20"/>
        </w:rPr>
        <w:t>id.</w:t>
      </w:r>
      <w:r>
        <w:rPr>
          <w:rFonts w:ascii="Times New Roman" w:hAnsi="Times New Roman"/>
          <w:color w:val="000000"/>
          <w:sz w:val="20"/>
        </w:rPr>
        <w:t xml:space="preserve"> at 2-3.</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5" w:name="co_pp_sp_999_2_1"/>
      <w:r>
        <w:rPr>
          <w:rFonts w:ascii="Times New Roman" w:hAnsi="Times New Roman"/>
          <w:b/>
          <w:color w:val="000000"/>
          <w:sz w:val="20"/>
        </w:rPr>
        <w:t>*2</w:t>
      </w:r>
      <w:bookmarkEnd w:id="15"/>
      <w:r>
        <w:rPr>
          <w:rFonts w:ascii="Times New Roman" w:hAnsi="Times New Roman"/>
          <w:color w:val="000000"/>
          <w:sz w:val="20"/>
        </w:rPr>
        <w:t xml:space="preserve"> The second deed, dated May 28, 1965, is also a quitclaim deed without covenant from the United States to John S. Norton and Peter K. Lawson. </w:t>
      </w:r>
      <w:r>
        <w:rPr>
          <w:rFonts w:ascii="Times New Roman" w:hAnsi="Times New Roman"/>
          <w:i/>
          <w:color w:val="000000"/>
          <w:sz w:val="20"/>
        </w:rPr>
        <w:t>See</w:t>
      </w:r>
      <w:r>
        <w:rPr>
          <w:rFonts w:ascii="Times New Roman" w:hAnsi="Times New Roman"/>
          <w:color w:val="000000"/>
          <w:sz w:val="20"/>
        </w:rPr>
        <w:t xml:space="preserve"> Ex. 54. The deed recites: “the purpose of this deed is to correct and confirm the deed of February 14, 1964 between the parties herein by including the exceptions and reservations ... which were erroneously omitted from the original deed.” </w:t>
      </w:r>
      <w:r>
        <w:rPr>
          <w:rFonts w:ascii="Times New Roman" w:hAnsi="Times New Roman"/>
          <w:i/>
          <w:color w:val="000000"/>
          <w:sz w:val="20"/>
        </w:rPr>
        <w:t>See</w:t>
      </w:r>
      <w:r>
        <w:rPr>
          <w:rFonts w:ascii="Times New Roman" w:hAnsi="Times New Roman"/>
          <w:color w:val="000000"/>
          <w:sz w:val="20"/>
        </w:rPr>
        <w:t xml:space="preserve"> </w:t>
      </w:r>
      <w:r>
        <w:rPr>
          <w:rFonts w:ascii="Times New Roman" w:hAnsi="Times New Roman"/>
          <w:i/>
          <w:color w:val="000000"/>
          <w:sz w:val="20"/>
        </w:rPr>
        <w:t>id.</w:t>
      </w:r>
      <w:r>
        <w:rPr>
          <w:rFonts w:ascii="Times New Roman" w:hAnsi="Times New Roman"/>
          <w:color w:val="000000"/>
          <w:sz w:val="20"/>
        </w:rPr>
        <w:t xml:space="preserve"> at 3.</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third deed is a quitclaim deed without covenant, dated October 22, 1986, from the United States to John S. Norton and Mary L. Norton as joint tenants. </w:t>
      </w:r>
      <w:r>
        <w:rPr>
          <w:rFonts w:ascii="Times New Roman" w:hAnsi="Times New Roman"/>
          <w:i/>
          <w:color w:val="000000"/>
          <w:sz w:val="20"/>
        </w:rPr>
        <w:t>See</w:t>
      </w:r>
      <w:r>
        <w:rPr>
          <w:rFonts w:ascii="Times New Roman" w:hAnsi="Times New Roman"/>
          <w:color w:val="000000"/>
          <w:sz w:val="20"/>
        </w:rPr>
        <w:t xml:space="preserve"> Ex. 59. The property conveyed is “Pier ‘H’ and a certain breakwater attached or adjacent thereto, said property formerly being a part of the U.S. Naval Fuel Annex situated on Long Island ...” </w:t>
      </w:r>
      <w:r>
        <w:rPr>
          <w:rFonts w:ascii="Times New Roman" w:hAnsi="Times New Roman"/>
          <w:i/>
          <w:color w:val="000000"/>
          <w:sz w:val="20"/>
        </w:rPr>
        <w:t>See</w:t>
      </w:r>
      <w:r>
        <w:rPr>
          <w:rFonts w:ascii="Times New Roman" w:hAnsi="Times New Roman"/>
          <w:color w:val="000000"/>
          <w:sz w:val="20"/>
        </w:rPr>
        <w:t xml:space="preserve"> </w:t>
      </w:r>
      <w:r>
        <w:rPr>
          <w:rFonts w:ascii="Times New Roman" w:hAnsi="Times New Roman"/>
          <w:i/>
          <w:color w:val="000000"/>
          <w:sz w:val="20"/>
        </w:rPr>
        <w:t>id.</w:t>
      </w:r>
      <w:r>
        <w:rPr>
          <w:rFonts w:ascii="Times New Roman" w:hAnsi="Times New Roman"/>
          <w:color w:val="000000"/>
          <w:sz w:val="20"/>
        </w:rPr>
        <w:t xml:space="preserve"> at 1.</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fourth deed, dated April 18, 1989, is a quitclaim deed without covenant from the United States to John S. Norton and Mary L. Norton as joint tenants. </w:t>
      </w:r>
      <w:r>
        <w:rPr>
          <w:rFonts w:ascii="Times New Roman" w:hAnsi="Times New Roman"/>
          <w:i/>
          <w:color w:val="000000"/>
          <w:sz w:val="20"/>
        </w:rPr>
        <w:t>See</w:t>
      </w:r>
      <w:r>
        <w:rPr>
          <w:rFonts w:ascii="Times New Roman" w:hAnsi="Times New Roman"/>
          <w:color w:val="000000"/>
          <w:sz w:val="20"/>
        </w:rPr>
        <w:t xml:space="preserve"> Ex. 67. That deed conveys all of the grantor's “right, title and interest in and to the property described [in exhibits 52, 54 and 59] and consisting of submerged land adjacent to a parcel of property and bulkhead, said property formerly being a part of the U.S. Naval Fuel Annex situated on Long Island in the City of Portland and State of Maine.” </w:t>
      </w:r>
      <w:r>
        <w:rPr>
          <w:rFonts w:ascii="Times New Roman" w:hAnsi="Times New Roman"/>
          <w:i/>
          <w:color w:val="000000"/>
          <w:sz w:val="20"/>
        </w:rPr>
        <w:t>See</w:t>
      </w:r>
      <w:r>
        <w:rPr>
          <w:rFonts w:ascii="Times New Roman" w:hAnsi="Times New Roman"/>
          <w:color w:val="000000"/>
          <w:sz w:val="20"/>
        </w:rPr>
        <w:t xml:space="preserve"> </w:t>
      </w:r>
      <w:r>
        <w:rPr>
          <w:rFonts w:ascii="Times New Roman" w:hAnsi="Times New Roman"/>
          <w:i/>
          <w:color w:val="000000"/>
          <w:sz w:val="20"/>
        </w:rPr>
        <w:t>id.</w:t>
      </w:r>
      <w:r>
        <w:rPr>
          <w:rFonts w:ascii="Times New Roman" w:hAnsi="Times New Roman"/>
          <w:color w:val="000000"/>
          <w:sz w:val="20"/>
        </w:rPr>
        <w:t xml:space="preserve"> at 1.</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defendants State of Maine and Town of Long Island oppose the plaintiff's claims on numerous grounds. First, they assert that the action is barred by the statute of limitations since the cause of action accrued when the first deed was delivered in 1964 and this action was commenced more than twenty years later.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Second, the defendants claim that the description in the only deed that mentions the submerged lands is inadequate and that the conveyance fails as a result. </w:t>
      </w:r>
      <w:r>
        <w:rPr>
          <w:rFonts w:ascii="Times New Roman" w:hAnsi="Times New Roman"/>
          <w:i/>
          <w:color w:val="000000"/>
          <w:sz w:val="20"/>
        </w:rPr>
        <w:t>See</w:t>
      </w:r>
      <w:r>
        <w:rPr>
          <w:rFonts w:ascii="Times New Roman" w:hAnsi="Times New Roman"/>
          <w:color w:val="000000"/>
          <w:sz w:val="20"/>
        </w:rPr>
        <w:t xml:space="preserve"> Ex. 67.</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Third, defendants assert that the condemnation proceedings did not divest the State of Maine of the ownership of the submerged lands because the eminent domain procedure was fatally flawed, the United States never intended to condemn the submerged land, and the eminent domain proceedings only affected title to the intertidal zone adjacent to the bulkhead on the upland.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Finally, the defendants argue that the United States was powerless to convey the submerged land to private parties since such a conveyance would resubject the submerged land to the public trust.</w:t>
      </w:r>
    </w:p>
    <w:p>
      <w:pPr>
        <w:spacing w:before="0" w:after="0" w:line="275" w:lineRule="atLeast"/>
        <w:jc w:val="both"/>
      </w:pPr>
      <w:r>
        <w:rPr>
          <w:rFonts w:ascii="Times New Roman" w:hAnsi="Times New Roman"/>
          <w:color w:val="000000"/>
          <w:sz w:val="20"/>
        </w:rPr>
        <w:t> </w:t>
      </w:r>
    </w:p>
    <w:bookmarkStart w:id="16" w:name="co_anchor_I5591a270adbf11de9b8c85033233"/>
    <w:bookmarkStart w:id="17" w:name="co_anchor_I5591a270adbf11de9b8c850332"/>
    <w:p>
      <w:pPr>
        <w:spacing w:before="600" w:after="0" w:line="275" w:lineRule="atLeast"/>
        <w:jc w:val="center"/>
      </w:pPr>
      <w:r>
        <w:rPr>
          <w:rFonts w:ascii="Times New Roman" w:hAnsi="Times New Roman"/>
          <w:i/>
          <w:color w:val="000000"/>
          <w:sz w:val="20"/>
        </w:rPr>
        <w:t>DISCUSSION</w:t>
      </w:r>
    </w:p>
    <w:bookmarkEnd w:id="17"/>
    <w:bookmarkEnd w:id="16"/>
    <w:bookmarkStart w:id="18" w:name="co_anchor_I5591a270adbf11de9b8c850333"/>
    <w:p>
      <w:pPr>
        <w:spacing w:before="600" w:after="0" w:line="275" w:lineRule="atLeast"/>
      </w:pPr>
      <w:r>
        <w:rPr>
          <w:rFonts w:ascii="Times New Roman" w:hAnsi="Times New Roman"/>
          <w:color w:val="000000"/>
          <w:sz w:val="20"/>
        </w:rPr>
        <w:t xml:space="preserve">I. </w:t>
      </w:r>
      <w:r>
        <w:rPr>
          <w:rFonts w:ascii="Times New Roman" w:hAnsi="Times New Roman"/>
          <w:i/>
          <w:color w:val="000000"/>
          <w:sz w:val="20"/>
        </w:rPr>
        <w:t>Is the Action Barred by the Statute of Limitations?</w:t>
      </w:r>
    </w:p>
    <w:bookmarkEnd w:id="18"/>
    <w:p>
      <w:pPr>
        <w:spacing w:before="0" w:after="0" w:line="275" w:lineRule="atLeast"/>
        <w:jc w:val="both"/>
      </w:pPr>
      <w:r>
        <w:rPr>
          <w:rFonts w:ascii="Times New Roman" w:hAnsi="Times New Roman"/>
          <w:color w:val="000000"/>
          <w:sz w:val="20"/>
        </w:rPr>
        <w:t xml:space="preserve">Maine's statute of limitations for real actions is twenty years. </w:t>
      </w:r>
      <w:hyperlink r:id="r15">
        <w:r>
          <w:rPr>
            <w:rFonts w:ascii="Times New Roman" w:hAnsi="Times New Roman"/>
            <w:color w:val="000000"/>
            <w:sz w:val="20"/>
          </w:rPr>
          <w:t>14 M.R.S.A. § 801 (2003)</w:t>
        </w:r>
      </w:hyperlink>
      <w:r>
        <w:rPr>
          <w:rFonts w:ascii="Times New Roman" w:hAnsi="Times New Roman"/>
          <w:color w:val="000000"/>
          <w:sz w:val="20"/>
        </w:rPr>
        <w:t>. The statute provides:</w:t>
      </w:r>
    </w:p>
    <w:p>
      <w:pPr>
        <w:spacing w:before="200" w:after="0" w:line="275" w:lineRule="atLeast"/>
        <w:ind w:left="480" w:right="480" w:firstLine="0"/>
        <w:jc w:val="both"/>
      </w:pPr>
      <w:r>
        <w:rPr>
          <w:rFonts w:ascii="Times New Roman" w:hAnsi="Times New Roman"/>
          <w:color w:val="000000"/>
          <w:sz w:val="20"/>
        </w:rPr>
        <w:t>No person shall commence any real or mixed action for the recovery of lands, or make an entry thereon, unless within 20 years after the right to do so first accrued, or unless within 20 years after he or those under whom he claims were seized or possessed of the premises, except as provided in this subchapter.</w:t>
      </w:r>
    </w:p>
    <w:p>
      <w:pPr>
        <w:spacing w:before="200" w:after="0" w:line="275" w:lineRule="atLeast"/>
        <w:jc w:val="both"/>
      </w:pPr>
      <w:hyperlink r:id="r16">
        <w:r>
          <w:rPr>
            <w:rFonts w:ascii="Times New Roman" w:hAnsi="Times New Roman"/>
            <w:color w:val="000000"/>
            <w:sz w:val="20"/>
          </w:rPr>
          <w:t>14 M.R.S.A. § 801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defendants argue that the statute of limitations in the present case began to run when John Norton, Sr. first acquired his alleged interest in the submerged lands in 1964. They assert that because the State of Maine has owned an interest in the submerged lands at least since the enactment of the Federal Submerged Lands Act of 1953, </w:t>
      </w:r>
      <w:r>
        <w:rPr>
          <w:rFonts w:ascii="Times New Roman" w:hAnsi="Times New Roman"/>
          <w:i/>
          <w:color w:val="000000"/>
          <w:sz w:val="20"/>
        </w:rPr>
        <w:t>see</w:t>
      </w:r>
      <w:r>
        <w:rPr>
          <w:rFonts w:ascii="Times New Roman" w:hAnsi="Times New Roman"/>
          <w:color w:val="000000"/>
          <w:sz w:val="20"/>
        </w:rPr>
        <w:t xml:space="preserve"> </w:t>
      </w:r>
      <w:hyperlink r:id="r17">
        <w:r>
          <w:rPr>
            <w:rFonts w:ascii="Times New Roman" w:hAnsi="Times New Roman"/>
            <w:color w:val="000000"/>
            <w:sz w:val="20"/>
          </w:rPr>
          <w:t>43 U.S.C.S. §§ 1301</w:t>
        </w:r>
      </w:hyperlink>
      <w:r>
        <w:rPr>
          <w:rFonts w:ascii="Times New Roman" w:hAnsi="Times New Roman"/>
          <w:color w:val="000000"/>
          <w:sz w:val="20"/>
        </w:rPr>
        <w:t>-</w:t>
      </w:r>
      <w:hyperlink r:id="r18">
        <w:r>
          <w:rPr>
            <w:rFonts w:ascii="Times New Roman" w:hAnsi="Times New Roman"/>
            <w:color w:val="000000"/>
            <w:sz w:val="20"/>
          </w:rPr>
          <w:t>1315 (2004)</w:t>
        </w:r>
      </w:hyperlink>
      <w:r>
        <w:rPr>
          <w:rFonts w:ascii="Times New Roman" w:hAnsi="Times New Roman"/>
          <w:color w:val="000000"/>
          <w:sz w:val="20"/>
        </w:rPr>
        <w:t>, and arguably since its statehood in 1820, the plaintiff's cause of action should have been brought no later than 1984. The court disagrees.</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9" w:name="co_pp_sp_999_3_1"/>
      <w:r>
        <w:rPr>
          <w:rFonts w:ascii="Times New Roman" w:hAnsi="Times New Roman"/>
          <w:b/>
          <w:color w:val="000000"/>
          <w:sz w:val="20"/>
        </w:rPr>
        <w:t>*3</w:t>
      </w:r>
      <w:bookmarkEnd w:id="19"/>
      <w:r>
        <w:rPr>
          <w:rFonts w:ascii="Times New Roman" w:hAnsi="Times New Roman"/>
          <w:color w:val="000000"/>
          <w:sz w:val="20"/>
        </w:rPr>
        <w:t xml:space="preserve"> Until recently, there was no adverse activity that put plaintiff on notice that the defendants were asserting an interest in the submerged land. Because the defendants were not exercising or attempting to exercise control over the now disputed land at an earlier time, the plaintiff had no reason to bring a cause of action against them. </w:t>
      </w:r>
      <w:r>
        <w:rPr>
          <w:rFonts w:ascii="Times New Roman" w:hAnsi="Times New Roman"/>
          <w:i/>
          <w:color w:val="000000"/>
          <w:sz w:val="20"/>
        </w:rPr>
        <w:t>Cf.</w:t>
      </w:r>
      <w:r>
        <w:rPr>
          <w:rFonts w:ascii="Times New Roman" w:hAnsi="Times New Roman"/>
          <w:color w:val="000000"/>
          <w:sz w:val="20"/>
        </w:rPr>
        <w:t xml:space="preserve"> </w:t>
      </w:r>
      <w:hyperlink r:id="r19">
        <w:r>
          <w:rPr>
            <w:rFonts w:ascii="Times New Roman" w:hAnsi="Times New Roman"/>
            <w:i/>
            <w:color w:val="000000"/>
            <w:sz w:val="20"/>
          </w:rPr>
          <w:t>Johnson v. Dedham,</w:t>
        </w:r>
        <w:r>
          <w:rPr>
            <w:rFonts w:ascii="Times New Roman" w:hAnsi="Times New Roman"/>
            <w:color w:val="000000"/>
            <w:sz w:val="20"/>
          </w:rPr>
          <w:t xml:space="preserve"> 490 A.2d 1187, 1189 (Me.1985)</w:t>
        </w:r>
      </w:hyperlink>
      <w:r>
        <w:rPr>
          <w:rFonts w:ascii="Times New Roman" w:hAnsi="Times New Roman"/>
          <w:color w:val="000000"/>
          <w:sz w:val="20"/>
        </w:rPr>
        <w:t xml:space="preserve"> (holding that the statute of limitations had not run on landowner's action brought to recover land town claimed under doctrine of adverse possession pursuant to tax liens, where town had exercised no acts of possession over the land and where tax liens were invalid and thus could not operate to disseize landowner).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Accordingly, the plaintiff's action is not barred by the statute of limitations.</w:t>
      </w:r>
    </w:p>
    <w:p>
      <w:pPr>
        <w:spacing w:before="0" w:after="0" w:line="275" w:lineRule="atLeast"/>
        <w:jc w:val="both"/>
      </w:pPr>
      <w:r>
        <w:rPr>
          <w:rFonts w:ascii="Times New Roman" w:hAnsi="Times New Roman"/>
          <w:color w:val="000000"/>
          <w:sz w:val="20"/>
        </w:rPr>
        <w:t> </w:t>
      </w:r>
    </w:p>
    <w:bookmarkStart w:id="20" w:name="co_anchor_I5591a271adbf11de9b8c85033233"/>
    <w:bookmarkStart w:id="21" w:name="co_anchor_I5591a271adbf11de9b8c850332"/>
    <w:p>
      <w:pPr>
        <w:spacing w:before="400" w:after="0" w:line="275" w:lineRule="atLeast"/>
      </w:pPr>
      <w:r>
        <w:rPr>
          <w:rFonts w:ascii="Times New Roman" w:hAnsi="Times New Roman"/>
          <w:color w:val="000000"/>
          <w:sz w:val="20"/>
        </w:rPr>
        <w:t xml:space="preserve">II. </w:t>
      </w:r>
      <w:r>
        <w:rPr>
          <w:rFonts w:ascii="Times New Roman" w:hAnsi="Times New Roman"/>
          <w:i/>
          <w:color w:val="000000"/>
          <w:sz w:val="20"/>
        </w:rPr>
        <w:t>Does the Patent Ambiguity of the Language in the Fourth Deed Render the Deed Void?</w:t>
      </w:r>
    </w:p>
    <w:bookmarkEnd w:id="21"/>
    <w:bookmarkEnd w:id="20"/>
    <w:p>
      <w:pPr>
        <w:spacing w:before="0" w:after="0" w:line="275" w:lineRule="atLeast"/>
        <w:jc w:val="both"/>
      </w:pPr>
      <w:r>
        <w:rPr>
          <w:rFonts w:ascii="Times New Roman" w:hAnsi="Times New Roman"/>
          <w:color w:val="000000"/>
          <w:sz w:val="20"/>
        </w:rPr>
        <w:t xml:space="preserve">The defendants assert that the language in the fourth deed contains a patent ambiguity that renders the deed void. </w:t>
      </w:r>
      <w:r>
        <w:rPr>
          <w:rFonts w:ascii="Times New Roman" w:hAnsi="Times New Roman"/>
          <w:i/>
          <w:color w:val="000000"/>
          <w:sz w:val="20"/>
        </w:rPr>
        <w:t>See</w:t>
      </w:r>
      <w:r>
        <w:rPr>
          <w:rFonts w:ascii="Times New Roman" w:hAnsi="Times New Roman"/>
          <w:color w:val="000000"/>
          <w:sz w:val="20"/>
        </w:rPr>
        <w:t xml:space="preserve"> Ex. 67; </w:t>
      </w:r>
      <w:r>
        <w:rPr>
          <w:rFonts w:ascii="Times New Roman" w:hAnsi="Times New Roman"/>
          <w:i/>
          <w:color w:val="000000"/>
          <w:sz w:val="20"/>
        </w:rPr>
        <w:t>see</w:t>
      </w:r>
      <w:r>
        <w:rPr>
          <w:rFonts w:ascii="Times New Roman" w:hAnsi="Times New Roman"/>
          <w:color w:val="000000"/>
          <w:sz w:val="20"/>
        </w:rPr>
        <w:t xml:space="preserve"> </w:t>
      </w:r>
      <w:r>
        <w:rPr>
          <w:rFonts w:ascii="Times New Roman" w:hAnsi="Times New Roman"/>
          <w:i/>
          <w:color w:val="000000"/>
          <w:sz w:val="20"/>
        </w:rPr>
        <w:t>also</w:t>
      </w:r>
      <w:r>
        <w:rPr>
          <w:rFonts w:ascii="Times New Roman" w:hAnsi="Times New Roman"/>
          <w:color w:val="000000"/>
          <w:sz w:val="20"/>
        </w:rPr>
        <w:t xml:space="preserve"> </w:t>
      </w:r>
      <w:hyperlink r:id="r20">
        <w:r>
          <w:rPr>
            <w:rFonts w:ascii="Times New Roman" w:hAnsi="Times New Roman"/>
            <w:i/>
            <w:color w:val="000000"/>
            <w:sz w:val="20"/>
          </w:rPr>
          <w:t>Bradley v. Washington, Alexandria &amp; Georgetown Steam Packet Co.,</w:t>
        </w:r>
        <w:r>
          <w:rPr>
            <w:rFonts w:ascii="Times New Roman" w:hAnsi="Times New Roman"/>
            <w:color w:val="000000"/>
            <w:sz w:val="20"/>
          </w:rPr>
          <w:t xml:space="preserve"> 38 U.S. 89 (1839)</w:t>
        </w:r>
      </w:hyperlink>
      <w:r>
        <w:rPr>
          <w:rFonts w:ascii="Times New Roman" w:hAnsi="Times New Roman"/>
          <w:color w:val="000000"/>
          <w:sz w:val="20"/>
        </w:rPr>
        <w:t xml:space="preserve">; </w:t>
      </w:r>
      <w:hyperlink r:id="r21">
        <w:r>
          <w:rPr>
            <w:rFonts w:ascii="Times New Roman" w:hAnsi="Times New Roman"/>
            <w:i/>
            <w:color w:val="000000"/>
            <w:sz w:val="20"/>
          </w:rPr>
          <w:t>Chadbourne v. Mason,</w:t>
        </w:r>
        <w:r>
          <w:rPr>
            <w:rFonts w:ascii="Times New Roman" w:hAnsi="Times New Roman"/>
            <w:color w:val="000000"/>
            <w:sz w:val="20"/>
          </w:rPr>
          <w:t xml:space="preserve"> 48 Me. 389 (1861)</w:t>
        </w:r>
      </w:hyperlink>
      <w:r>
        <w:rPr>
          <w:rFonts w:ascii="Times New Roman" w:hAnsi="Times New Roman"/>
          <w:color w:val="000000"/>
          <w:sz w:val="20"/>
        </w:rPr>
        <w:t xml:space="preserve">; </w:t>
      </w:r>
      <w:hyperlink r:id="r22">
        <w:r>
          <w:rPr>
            <w:rFonts w:ascii="Times New Roman" w:hAnsi="Times New Roman"/>
            <w:i/>
            <w:color w:val="000000"/>
            <w:sz w:val="20"/>
          </w:rPr>
          <w:t>Sylvester v. Staples,</w:t>
        </w:r>
        <w:r>
          <w:rPr>
            <w:rFonts w:ascii="Times New Roman" w:hAnsi="Times New Roman"/>
            <w:color w:val="000000"/>
            <w:sz w:val="20"/>
          </w:rPr>
          <w:t xml:space="preserve"> 44 Me. 496 (1858)</w:t>
        </w:r>
      </w:hyperlink>
      <w:r>
        <w:rPr>
          <w:rFonts w:ascii="Times New Roman" w:hAnsi="Times New Roman"/>
          <w:color w:val="000000"/>
          <w:sz w:val="20"/>
        </w:rPr>
        <w:t xml:space="preserve">; </w:t>
      </w:r>
      <w:hyperlink r:id="r23">
        <w:r>
          <w:rPr>
            <w:rFonts w:ascii="Times New Roman" w:hAnsi="Times New Roman"/>
            <w:i/>
            <w:color w:val="000000"/>
            <w:sz w:val="20"/>
          </w:rPr>
          <w:t>Nichols v. Frothingham,</w:t>
        </w:r>
        <w:r>
          <w:rPr>
            <w:rFonts w:ascii="Times New Roman" w:hAnsi="Times New Roman"/>
            <w:color w:val="000000"/>
            <w:sz w:val="20"/>
          </w:rPr>
          <w:t xml:space="preserve"> 45 Me. 220 (1858)</w:t>
        </w:r>
      </w:hyperlink>
      <w:r>
        <w:rPr>
          <w:rFonts w:ascii="Times New Roman" w:hAnsi="Times New Roman"/>
          <w:color w:val="000000"/>
          <w:sz w:val="20"/>
        </w:rPr>
        <w:t>. The deed provides:</w:t>
      </w:r>
    </w:p>
    <w:p>
      <w:pPr>
        <w:spacing w:before="200" w:after="0" w:line="275" w:lineRule="atLeast"/>
        <w:ind w:left="480" w:right="480" w:firstLine="0"/>
        <w:jc w:val="both"/>
      </w:pPr>
      <w:r>
        <w:rPr>
          <w:rFonts w:ascii="Times New Roman" w:hAnsi="Times New Roman"/>
          <w:color w:val="000000"/>
          <w:sz w:val="20"/>
        </w:rPr>
        <w:t xml:space="preserve">That the UNITED STATES OF AMERICA ... does hereby grant, remise, release and forever quitclaim unto JOHN S. NORTON AND MARY L. NORTON ... all its right, title and interest in and to the property described [in exhibits 52, 54, and 59] and </w:t>
      </w:r>
      <w:r>
        <w:rPr>
          <w:rFonts w:ascii="Times New Roman" w:hAnsi="Times New Roman"/>
          <w:i/>
          <w:color w:val="000000"/>
          <w:sz w:val="20"/>
        </w:rPr>
        <w:t>consisting of submerged land adjacent to</w:t>
      </w:r>
      <w:r>
        <w:rPr>
          <w:rFonts w:ascii="Times New Roman" w:hAnsi="Times New Roman"/>
          <w:color w:val="000000"/>
          <w:sz w:val="20"/>
        </w:rPr>
        <w:t xml:space="preserve"> a parcel of property and bulkhead, said property formerly being part of the U.S. Naval Fuel Annex situated on Long Island in the City of Portland and State of Maine ... This deed is intended to clarify two prior deeds from the Grantor herein ... It was the intent of the Grantor herein to convey its interest to the said submerged lands in the aforesaid deed of May 28, 1965, and this deed is intended as clarification and confirmation that Grantor's interest in the said submerged lands was conveyed by the Grantor herein in the aforesaid deed of May 28, 1965.</w:t>
      </w:r>
    </w:p>
    <w:p>
      <w:pPr>
        <w:spacing w:before="200" w:after="0" w:line="275" w:lineRule="atLeast"/>
        <w:jc w:val="both"/>
      </w:pPr>
      <w:r>
        <w:rPr>
          <w:rFonts w:ascii="Times New Roman" w:hAnsi="Times New Roman"/>
          <w:i/>
          <w:color w:val="000000"/>
          <w:sz w:val="20"/>
        </w:rPr>
        <w:t>See</w:t>
      </w:r>
      <w:r>
        <w:rPr>
          <w:rFonts w:ascii="Times New Roman" w:hAnsi="Times New Roman"/>
          <w:color w:val="000000"/>
          <w:sz w:val="20"/>
        </w:rPr>
        <w:t xml:space="preserve"> Ex. 67 (emphasis added).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To satisfy the Statute of Frauds, the property description in a deed “must contain a sufficiently full and certain depiction of the land so as to afford a means of identifying the property which will distinguish it from all others.” Richard Powell, 14 </w:t>
      </w:r>
      <w:r>
        <w:rPr>
          <w:rFonts w:ascii="Times New Roman" w:hAnsi="Times New Roman"/>
          <w:i/>
          <w:color w:val="000000"/>
          <w:sz w:val="20"/>
        </w:rPr>
        <w:t>Powell on Real Property</w:t>
      </w:r>
      <w:r>
        <w:rPr>
          <w:rFonts w:ascii="Times New Roman" w:hAnsi="Times New Roman"/>
          <w:color w:val="000000"/>
          <w:sz w:val="20"/>
        </w:rPr>
        <w:t xml:space="preserve"> § 81A.05[1][c][i] (Wolf ed.2004).</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Traditionally, it was impermissible to use parol evidence to explain patent ambiguities in deeds. </w:t>
      </w:r>
      <w:r>
        <w:rPr>
          <w:rFonts w:ascii="Times New Roman" w:hAnsi="Times New Roman"/>
          <w:i/>
          <w:color w:val="000000"/>
          <w:sz w:val="20"/>
        </w:rPr>
        <w:t>See</w:t>
      </w:r>
      <w:r>
        <w:rPr>
          <w:rFonts w:ascii="Times New Roman" w:hAnsi="Times New Roman"/>
          <w:color w:val="000000"/>
          <w:sz w:val="20"/>
        </w:rPr>
        <w:t xml:space="preserve"> </w:t>
      </w:r>
      <w:r>
        <w:rPr>
          <w:rFonts w:ascii="Times New Roman" w:hAnsi="Times New Roman"/>
          <w:i/>
          <w:color w:val="000000"/>
          <w:sz w:val="20"/>
        </w:rPr>
        <w:t>generally</w:t>
      </w:r>
      <w:r>
        <w:rPr>
          <w:rFonts w:ascii="Times New Roman" w:hAnsi="Times New Roman"/>
          <w:color w:val="000000"/>
          <w:sz w:val="20"/>
        </w:rPr>
        <w:t xml:space="preserve"> </w:t>
      </w:r>
      <w:hyperlink r:id="r24">
        <w:r>
          <w:rPr>
            <w:rFonts w:ascii="Times New Roman" w:hAnsi="Times New Roman"/>
            <w:i/>
            <w:color w:val="000000"/>
            <w:sz w:val="20"/>
          </w:rPr>
          <w:t>Bartlett v. Corliss,</w:t>
        </w:r>
        <w:r>
          <w:rPr>
            <w:rFonts w:ascii="Times New Roman" w:hAnsi="Times New Roman"/>
            <w:color w:val="000000"/>
            <w:sz w:val="20"/>
          </w:rPr>
          <w:t xml:space="preserve"> 63 Me. 287 (1873)</w:t>
        </w:r>
      </w:hyperlink>
      <w:r>
        <w:rPr>
          <w:rFonts w:ascii="Times New Roman" w:hAnsi="Times New Roman"/>
          <w:color w:val="000000"/>
          <w:sz w:val="20"/>
        </w:rPr>
        <w:t xml:space="preserve"> (adopting the defendant's argument that “[p]atent ambiguities admit of no parol explanation; and latent ones only when they arise dehors the record”). More recently, however, the Law Court has suggested that whenever a deed is ambiguous (regardless of whether the ambiguity is latent or patent) the court may consider extrinsic evidence. </w:t>
      </w:r>
      <w:r>
        <w:rPr>
          <w:rFonts w:ascii="Times New Roman" w:hAnsi="Times New Roman"/>
          <w:i/>
          <w:color w:val="000000"/>
          <w:sz w:val="20"/>
        </w:rPr>
        <w:t>See</w:t>
      </w:r>
      <w:r>
        <w:rPr>
          <w:rFonts w:ascii="Times New Roman" w:hAnsi="Times New Roman"/>
          <w:color w:val="000000"/>
          <w:sz w:val="20"/>
        </w:rPr>
        <w:t xml:space="preserve"> </w:t>
      </w:r>
      <w:hyperlink r:id="r25">
        <w:r>
          <w:rPr>
            <w:rFonts w:ascii="Times New Roman" w:hAnsi="Times New Roman"/>
            <w:color w:val="000000"/>
            <w:sz w:val="30"/>
          </w:rPr>
          <w:drawing>
            <wp:inline>
              <wp:extent cx="161925" cy="161925"/>
              <wp:docPr id="3" name="Picture 2"/>
              <a:graphic>
                <a:graphicData uri="http://schemas.openxmlformats.org/drawingml/2006/picture">
                  <p:pic>
                    <p:nvPicPr>
                      <p:cNvPr id="4" name="Picture 2"/>
                      <p:cNvPicPr/>
                    </p:nvPicPr>
                    <p:blipFill>
                      <a:blip r:embed="r27"/>
                      <a:srcRect/>
                      <a:stretch>
                        <a:fillRect/>
                      </a:stretch>
                    </p:blipFill>
                    <p:spPr>
                      <a:xfrm>
                        <a:off x="0" y="0"/>
                        <a:ext cx="161925" cy="161925"/>
                      </a:xfrm>
                      <a:prstGeom prst="rect"/>
                    </p:spPr>
                  </p:pic>
                </a:graphicData>
              </a:graphic>
            </wp:inline>
          </w:drawing>
        </w:r>
      </w:hyperlink>
      <w:hyperlink r:id="r26">
        <w:r>
          <w:rPr>
            <w:rFonts w:ascii="Times New Roman" w:hAnsi="Times New Roman"/>
            <w:i/>
            <w:color w:val="000000"/>
            <w:sz w:val="20"/>
          </w:rPr>
          <w:t>Jordan v. Shea,</w:t>
        </w:r>
        <w:r>
          <w:rPr>
            <w:rFonts w:ascii="Times New Roman" w:hAnsi="Times New Roman"/>
            <w:color w:val="000000"/>
            <w:sz w:val="20"/>
          </w:rPr>
          <w:t xml:space="preserve"> 2002 ME 36, ¶ 14, 791 A.2d 116, 121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22" w:name="co_pp_sp_999_4_1"/>
      <w:r>
        <w:rPr>
          <w:rFonts w:ascii="Times New Roman" w:hAnsi="Times New Roman"/>
          <w:b/>
          <w:color w:val="000000"/>
          <w:sz w:val="20"/>
        </w:rPr>
        <w:t>*4</w:t>
      </w:r>
      <w:bookmarkEnd w:id="22"/>
      <w:r>
        <w:rPr>
          <w:rFonts w:ascii="Times New Roman" w:hAnsi="Times New Roman"/>
          <w:color w:val="000000"/>
          <w:sz w:val="20"/>
        </w:rPr>
        <w:t xml:space="preserve"> The Law Court's recent election to focus on the question of whether any ambiguity exists in a deed, rather than distinguishing between patent and latent ambiguities, is illustrative of the approach taken by most courts today. </w:t>
      </w:r>
      <w:r>
        <w:rPr>
          <w:rFonts w:ascii="Times New Roman" w:hAnsi="Times New Roman"/>
          <w:i/>
          <w:color w:val="000000"/>
          <w:sz w:val="20"/>
        </w:rPr>
        <w:t>See</w:t>
      </w:r>
      <w:r>
        <w:rPr>
          <w:rFonts w:ascii="Times New Roman" w:hAnsi="Times New Roman"/>
          <w:color w:val="000000"/>
          <w:sz w:val="20"/>
        </w:rPr>
        <w:t xml:space="preserve"> 14 </w:t>
      </w:r>
      <w:r>
        <w:rPr>
          <w:rFonts w:ascii="Times New Roman" w:hAnsi="Times New Roman"/>
          <w:i/>
          <w:color w:val="000000"/>
          <w:sz w:val="20"/>
        </w:rPr>
        <w:t>Powell on Real Property</w:t>
      </w:r>
      <w:r>
        <w:rPr>
          <w:rFonts w:ascii="Times New Roman" w:hAnsi="Times New Roman"/>
          <w:color w:val="000000"/>
          <w:sz w:val="20"/>
        </w:rPr>
        <w:t xml:space="preserve"> § 81A.05[3][e]. (“The cases do not (or should not) state that if the ambiguity is patent, extrinsic evidence may not be introduced. Rather they generally state that if the ambiguity may be resolved within the document, there is no need for parol evidence. However, if it may not be resolved within the document, no matter how patent the ambiguity may be, extrinsic evidence may be introduced to help clarify the intent.”). Maine, like most other states, appears to have abandoned the traditional canon of construction that “ ‘[e]xtrinsic evidence will be allowed to explain a latent ambiguity but a patent ambiguity must be resolved within the four corners of the deed.” </w:t>
      </w:r>
      <w:r>
        <w:rPr>
          <w:rFonts w:ascii="Times New Roman" w:hAnsi="Times New Roman"/>
          <w:i/>
          <w:color w:val="000000"/>
          <w:sz w:val="20"/>
        </w:rPr>
        <w:t>Id.</w:t>
      </w:r>
      <w:r>
        <w:rPr>
          <w:rFonts w:ascii="Times New Roman" w:hAnsi="Times New Roman"/>
          <w:color w:val="000000"/>
          <w:sz w:val="20"/>
        </w:rPr>
        <w:t xml:space="preserve"> (citing J. Cribbet, </w:t>
      </w:r>
      <w:r>
        <w:rPr>
          <w:rFonts w:ascii="Times New Roman" w:hAnsi="Times New Roman"/>
          <w:i/>
          <w:color w:val="000000"/>
          <w:sz w:val="20"/>
        </w:rPr>
        <w:t>Principles of the Law of Property,</w:t>
      </w:r>
      <w:r>
        <w:rPr>
          <w:rFonts w:ascii="Times New Roman" w:hAnsi="Times New Roman"/>
          <w:color w:val="000000"/>
          <w:sz w:val="20"/>
        </w:rPr>
        <w:t xml:space="preserve"> at 169 (Foundation Press 2d ed.1975).</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Accordingly, the defendants' argument that the term “submerged lands adjacent to” renders the plaintiff's deed void on its face fails. Rather, the ambiguity in the terms of the deed allows the court to consider extrinsic evidence. </w:t>
      </w:r>
      <w:r>
        <w:rPr>
          <w:rFonts w:ascii="Times New Roman" w:hAnsi="Times New Roman"/>
          <w:i/>
          <w:color w:val="000000"/>
          <w:sz w:val="20"/>
        </w:rPr>
        <w:t>See</w:t>
      </w:r>
      <w:r>
        <w:rPr>
          <w:rFonts w:ascii="Times New Roman" w:hAnsi="Times New Roman"/>
          <w:color w:val="000000"/>
          <w:sz w:val="20"/>
        </w:rPr>
        <w:t xml:space="preserve"> </w:t>
      </w:r>
      <w:hyperlink r:id="r28">
        <w:r>
          <w:rPr>
            <w:rFonts w:ascii="Times New Roman" w:hAnsi="Times New Roman"/>
            <w:color w:val="000000"/>
            <w:sz w:val="30"/>
          </w:rPr>
          <w:drawing>
            <wp:inline>
              <wp:extent cx="161925" cy="161925"/>
              <wp:docPr id="5" name="Picture 2"/>
              <a:graphic>
                <a:graphicData uri="http://schemas.openxmlformats.org/drawingml/2006/picture">
                  <p:pic>
                    <p:nvPicPr>
                      <p:cNvPr id="6" name="Picture 2"/>
                      <p:cNvPicPr/>
                    </p:nvPicPr>
                    <p:blipFill>
                      <a:blip r:embed="r27"/>
                      <a:srcRect/>
                      <a:stretch>
                        <a:fillRect/>
                      </a:stretch>
                    </p:blipFill>
                    <p:spPr>
                      <a:xfrm>
                        <a:off x="0" y="0"/>
                        <a:ext cx="161925" cy="161925"/>
                      </a:xfrm>
                      <a:prstGeom prst="rect"/>
                    </p:spPr>
                  </p:pic>
                </a:graphicData>
              </a:graphic>
            </wp:inline>
          </w:drawing>
        </w:r>
      </w:hyperlink>
      <w:hyperlink r:id="r29">
        <w:r>
          <w:rPr>
            <w:rFonts w:ascii="Times New Roman" w:hAnsi="Times New Roman"/>
            <w:i/>
            <w:color w:val="000000"/>
            <w:sz w:val="20"/>
          </w:rPr>
          <w:t>Eaton v. Town of Wells,</w:t>
        </w:r>
        <w:r>
          <w:rPr>
            <w:rFonts w:ascii="Times New Roman" w:hAnsi="Times New Roman"/>
            <w:color w:val="000000"/>
            <w:sz w:val="20"/>
          </w:rPr>
          <w:t xml:space="preserve"> 2000 ME 176, ¶ 25, 760 A.2d 232, 242</w:t>
        </w:r>
      </w:hyperlink>
      <w:r>
        <w:rPr>
          <w:rFonts w:ascii="Times New Roman" w:hAnsi="Times New Roman"/>
          <w:color w:val="000000"/>
          <w:sz w:val="20"/>
        </w:rPr>
        <w:t xml:space="preserve"> (holding it proper for the court to examine extrinsic evidence where the deed is ambiguous and the intentions of the parties are in doubt). The extrinsic evidence before the court establishes that the federal government's deed adequately describes the submerged lands under and within the monuments erected around the Small Boat Pool.</w:t>
      </w:r>
    </w:p>
    <w:p>
      <w:pPr>
        <w:spacing w:before="0" w:after="0" w:line="275" w:lineRule="atLeast"/>
        <w:jc w:val="both"/>
      </w:pPr>
      <w:r>
        <w:rPr>
          <w:rFonts w:ascii="Times New Roman" w:hAnsi="Times New Roman"/>
          <w:color w:val="000000"/>
          <w:sz w:val="20"/>
        </w:rPr>
        <w:t> </w:t>
      </w:r>
    </w:p>
    <w:bookmarkStart w:id="23" w:name="co_anchor_I5591a272adbf11de9b8c85033233"/>
    <w:bookmarkStart w:id="24" w:name="co_anchor_I5591a272adbf11de9b8c850332"/>
    <w:p>
      <w:pPr>
        <w:spacing w:before="400" w:after="0" w:line="275" w:lineRule="atLeast"/>
      </w:pPr>
      <w:r>
        <w:rPr>
          <w:rFonts w:ascii="Times New Roman" w:hAnsi="Times New Roman"/>
          <w:color w:val="000000"/>
          <w:sz w:val="20"/>
        </w:rPr>
        <w:t xml:space="preserve">III. </w:t>
      </w:r>
      <w:r>
        <w:rPr>
          <w:rFonts w:ascii="Times New Roman" w:hAnsi="Times New Roman"/>
          <w:i/>
          <w:color w:val="000000"/>
          <w:sz w:val="20"/>
        </w:rPr>
        <w:t>Did the United States Intend to Condemn the Submerged Lands?</w:t>
      </w:r>
    </w:p>
    <w:bookmarkEnd w:id="24"/>
    <w:bookmarkEnd w:id="23"/>
    <w:p>
      <w:pPr>
        <w:spacing w:before="0" w:after="0" w:line="275" w:lineRule="atLeast"/>
        <w:jc w:val="both"/>
      </w:pPr>
      <w:r>
        <w:rPr>
          <w:rFonts w:ascii="Times New Roman" w:hAnsi="Times New Roman"/>
          <w:color w:val="000000"/>
          <w:sz w:val="20"/>
        </w:rPr>
        <w:t>The defendants argue that the condemnation proceedings did not divest the State of Maine of the ownership of the submerged lands because (1) the eminent domain procedure was fatally flawed; (2) the United States never intended to condemn the submerged land; and (3) the eminent domain proceedings only affected title to the intertidal zone adjacent to the bulkhead on the upland.</w:t>
      </w:r>
    </w:p>
    <w:p>
      <w:pPr>
        <w:spacing w:before="0" w:after="0" w:line="275" w:lineRule="atLeast"/>
        <w:jc w:val="both"/>
      </w:pPr>
      <w:r>
        <w:rPr>
          <w:rFonts w:ascii="Times New Roman" w:hAnsi="Times New Roman"/>
          <w:color w:val="000000"/>
          <w:sz w:val="20"/>
        </w:rPr>
        <w:t> </w:t>
      </w:r>
    </w:p>
    <w:bookmarkStart w:id="25" w:name="co_anchor_I5591a273adbf11de9b8c85033233"/>
    <w:bookmarkStart w:id="26" w:name="co_anchor_I5591a273adbf11de9b8c850332"/>
    <w:p>
      <w:pPr>
        <w:pBdr>
          <w:left w:val="none" w:space="10"/>
        </w:pBdr>
        <w:spacing w:before="400" w:after="0" w:line="275" w:lineRule="atLeast"/>
        <w:ind w:left="200" w:right="0" w:firstLine="0"/>
      </w:pPr>
      <w:r>
        <w:rPr>
          <w:rFonts w:ascii="Times New Roman" w:hAnsi="Times New Roman"/>
          <w:color w:val="000000"/>
          <w:sz w:val="20"/>
        </w:rPr>
        <w:t xml:space="preserve">A. </w:t>
      </w:r>
      <w:r>
        <w:rPr>
          <w:rFonts w:ascii="Times New Roman" w:hAnsi="Times New Roman"/>
          <w:i/>
          <w:color w:val="000000"/>
          <w:sz w:val="20"/>
        </w:rPr>
        <w:t>Did the procedural flaws in the eminent domain proceeding prevent the federal government from condemning the submerged lands?</w:t>
      </w:r>
    </w:p>
    <w:bookmarkEnd w:id="26"/>
    <w:bookmarkEnd w:id="25"/>
    <w:p>
      <w:pPr>
        <w:spacing w:before="0" w:after="0" w:line="275" w:lineRule="atLeast"/>
        <w:jc w:val="both"/>
      </w:pPr>
      <w:r>
        <w:rPr>
          <w:rFonts w:ascii="Times New Roman" w:hAnsi="Times New Roman"/>
          <w:color w:val="000000"/>
          <w:sz w:val="20"/>
        </w:rPr>
        <w:t>The defendants take the position that the 1964, 1965, and 1986 deeds from the United States to the plaintiff's predecessors never conveyed the submerged lands because they were never taken from the state in the condemnation proceeding. They argue this is so because: (1) the state did not receive the requisite notice that the submerged lands were being taken; and (2) the state was not paid for the condemned lands. The court rejects both arguments.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Secretary of any United States military department has the authority to acquire lands for military or other war purposes. </w:t>
      </w:r>
      <w:r>
        <w:rPr>
          <w:rFonts w:ascii="Times New Roman" w:hAnsi="Times New Roman"/>
          <w:i/>
          <w:color w:val="000000"/>
          <w:sz w:val="20"/>
        </w:rPr>
        <w:t>See</w:t>
      </w:r>
      <w:r>
        <w:rPr>
          <w:rFonts w:ascii="Times New Roman" w:hAnsi="Times New Roman"/>
          <w:color w:val="000000"/>
          <w:sz w:val="20"/>
        </w:rPr>
        <w:t xml:space="preserve"> </w:t>
      </w:r>
      <w:hyperlink r:id="r30">
        <w:r>
          <w:rPr>
            <w:rFonts w:ascii="Times New Roman" w:hAnsi="Times New Roman"/>
            <w:color w:val="000000"/>
            <w:sz w:val="20"/>
          </w:rPr>
          <w:t>10 U.S.C.S. § 2663 (2004)</w:t>
        </w:r>
      </w:hyperlink>
      <w:r>
        <w:rPr>
          <w:rFonts w:ascii="Times New Roman" w:hAnsi="Times New Roman"/>
          <w:color w:val="000000"/>
          <w:sz w:val="20"/>
        </w:rPr>
        <w:t xml:space="preserve"> (corresponding with </w:t>
      </w:r>
      <w:hyperlink r:id="r31">
        <w:r>
          <w:rPr>
            <w:rFonts w:ascii="Times New Roman" w:hAnsi="Times New Roman"/>
            <w:color w:val="000000"/>
            <w:sz w:val="30"/>
          </w:rPr>
          <w:drawing>
            <wp:inline>
              <wp:extent cx="161925" cy="161925"/>
              <wp:docPr id="7" name="Picture 3"/>
              <a:graphic>
                <a:graphicData uri="http://schemas.openxmlformats.org/drawingml/2006/picture">
                  <p:pic>
                    <p:nvPicPr>
                      <p:cNvPr id="8" name="Picture 3"/>
                      <p:cNvPicPr/>
                    </p:nvPicPr>
                    <p:blipFill>
                      <a:blip r:embed="r36"/>
                      <a:srcRect/>
                      <a:stretch>
                        <a:fillRect/>
                      </a:stretch>
                    </p:blipFill>
                    <p:spPr>
                      <a:xfrm>
                        <a:off x="0" y="0"/>
                        <a:ext cx="161925" cy="161925"/>
                      </a:xfrm>
                      <a:prstGeom prst="rect"/>
                    </p:spPr>
                  </p:pic>
                </a:graphicData>
              </a:graphic>
            </wp:inline>
          </w:drawing>
        </w:r>
      </w:hyperlink>
      <w:hyperlink r:id="r32">
        <w:r>
          <w:rPr>
            <w:rFonts w:ascii="Times New Roman" w:hAnsi="Times New Roman"/>
            <w:color w:val="000000"/>
            <w:sz w:val="20"/>
          </w:rPr>
          <w:t>50 U.S.C.S. § 171 (1942)</w:t>
        </w:r>
      </w:hyperlink>
      <w:r>
        <w:rPr>
          <w:rFonts w:ascii="Times New Roman" w:hAnsi="Times New Roman"/>
          <w:color w:val="000000"/>
          <w:sz w:val="20"/>
        </w:rPr>
        <w:t xml:space="preserve">). In the case at bar, when the United States filed its Petition for Condemnation on November 27, 1942, it served the State of Maine and the State statutorily consented to the taking. This notice was sufficient to take all interest in the property. </w:t>
      </w:r>
      <w:r>
        <w:rPr>
          <w:rFonts w:ascii="Times New Roman" w:hAnsi="Times New Roman"/>
          <w:i/>
          <w:color w:val="000000"/>
          <w:sz w:val="20"/>
        </w:rPr>
        <w:t>See</w:t>
      </w:r>
      <w:r>
        <w:rPr>
          <w:rFonts w:ascii="Times New Roman" w:hAnsi="Times New Roman"/>
          <w:color w:val="000000"/>
          <w:sz w:val="20"/>
        </w:rPr>
        <w:t xml:space="preserve"> </w:t>
      </w:r>
      <w:hyperlink r:id="r33">
        <w:r>
          <w:rPr>
            <w:rFonts w:ascii="Times New Roman" w:hAnsi="Times New Roman"/>
            <w:i/>
            <w:color w:val="000000"/>
            <w:sz w:val="20"/>
          </w:rPr>
          <w:t>A.W.</w:t>
        </w:r>
        <w:r>
          <w:rPr>
            <w:rFonts w:ascii="Times New Roman" w:hAnsi="Times New Roman"/>
            <w:color w:val="000000"/>
            <w:sz w:val="20"/>
          </w:rPr>
          <w:t xml:space="preserve"> </w:t>
        </w:r>
        <w:r>
          <w:rPr>
            <w:rFonts w:ascii="Times New Roman" w:hAnsi="Times New Roman"/>
            <w:i/>
            <w:color w:val="000000"/>
            <w:sz w:val="20"/>
          </w:rPr>
          <w:t>Duckett &amp; Co. v. United States,</w:t>
        </w:r>
        <w:r>
          <w:rPr>
            <w:rFonts w:ascii="Times New Roman" w:hAnsi="Times New Roman"/>
            <w:color w:val="000000"/>
            <w:sz w:val="20"/>
          </w:rPr>
          <w:t xml:space="preserve"> 266 U.S. 149, 151 (1924)</w:t>
        </w:r>
      </w:hyperlink>
      <w:r>
        <w:rPr>
          <w:rFonts w:ascii="Times New Roman" w:hAnsi="Times New Roman"/>
          <w:color w:val="000000"/>
          <w:sz w:val="20"/>
        </w:rPr>
        <w:t>. Accordingly, it is inconsequential that the State may not have received specific notice that the federal government intended to take the submerged lands because the government's later occupation of the submerged lands</w:t>
      </w:r>
      <w:bookmarkStart w:id="27" w:name="co_fnRef_B00112005199965_ID0EQQAE_1"/>
      <w:hyperlink w:anchor="co_footnote_B00112005199965_1">
        <w:r>
          <w:rPr>
            <w:rFonts w:ascii="Times New Roman" w:hAnsi="Times New Roman"/>
            <w:color w:val="000000"/>
            <w:sz w:val="16"/>
            <w:vertAlign w:val="superscript"/>
          </w:rPr>
          <w:t>1</w:t>
        </w:r>
      </w:hyperlink>
      <w:bookmarkEnd w:id="27"/>
      <w:r>
        <w:rPr>
          <w:rFonts w:ascii="Times New Roman" w:hAnsi="Times New Roman"/>
          <w:color w:val="000000"/>
          <w:sz w:val="20"/>
        </w:rPr>
        <w:t xml:space="preserve"> evidences its intention to take those lands. </w:t>
      </w:r>
      <w:r>
        <w:rPr>
          <w:rFonts w:ascii="Times New Roman" w:hAnsi="Times New Roman"/>
          <w:i/>
          <w:color w:val="000000"/>
          <w:sz w:val="20"/>
        </w:rPr>
        <w:t>See</w:t>
      </w:r>
      <w:r>
        <w:rPr>
          <w:rFonts w:ascii="Times New Roman" w:hAnsi="Times New Roman"/>
          <w:color w:val="000000"/>
          <w:sz w:val="20"/>
        </w:rPr>
        <w:t xml:space="preserve"> </w:t>
      </w:r>
      <w:hyperlink r:id="r34">
        <w:r>
          <w:rPr>
            <w:rFonts w:ascii="Times New Roman" w:hAnsi="Times New Roman"/>
            <w:color w:val="000000"/>
            <w:sz w:val="30"/>
          </w:rPr>
          <w:drawing>
            <wp:inline>
              <wp:extent cx="161925" cy="161925"/>
              <wp:docPr id="9" name="Picture 2"/>
              <a:graphic>
                <a:graphicData uri="http://schemas.openxmlformats.org/drawingml/2006/picture">
                  <p:pic>
                    <p:nvPicPr>
                      <p:cNvPr id="10" name="Picture 2"/>
                      <p:cNvPicPr/>
                    </p:nvPicPr>
                    <p:blipFill>
                      <a:blip r:embed="r27"/>
                      <a:srcRect/>
                      <a:stretch>
                        <a:fillRect/>
                      </a:stretch>
                    </p:blipFill>
                    <p:spPr>
                      <a:xfrm>
                        <a:off x="0" y="0"/>
                        <a:ext cx="161925" cy="161925"/>
                      </a:xfrm>
                      <a:prstGeom prst="rect"/>
                    </p:spPr>
                  </p:pic>
                </a:graphicData>
              </a:graphic>
            </wp:inline>
          </w:drawing>
        </w:r>
      </w:hyperlink>
      <w:hyperlink r:id="r35">
        <w:r>
          <w:rPr>
            <w:rFonts w:ascii="Times New Roman" w:hAnsi="Times New Roman"/>
            <w:i/>
            <w:color w:val="000000"/>
            <w:sz w:val="20"/>
          </w:rPr>
          <w:t>United States v. Dow,</w:t>
        </w:r>
        <w:r>
          <w:rPr>
            <w:rFonts w:ascii="Times New Roman" w:hAnsi="Times New Roman"/>
            <w:color w:val="000000"/>
            <w:sz w:val="20"/>
          </w:rPr>
          <w:t xml:space="preserve"> 357 U.S. 17, 22 (1958)</w:t>
        </w:r>
      </w:hyperlink>
      <w:r>
        <w:rPr>
          <w:rFonts w:ascii="Times New Roman" w:hAnsi="Times New Roman"/>
          <w:color w:val="000000"/>
          <w:sz w:val="20"/>
        </w:rPr>
        <w:t xml:space="preserve"> (holding that “[t]he usual rule is that if the United States has entered possession of the property prior to acquisition of title, it is the former event which constitutes the act of taking”).</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28" w:name="co_pp_sp_999_5_1"/>
      <w:r>
        <w:rPr>
          <w:rFonts w:ascii="Times New Roman" w:hAnsi="Times New Roman"/>
          <w:b/>
          <w:color w:val="000000"/>
          <w:sz w:val="20"/>
        </w:rPr>
        <w:t>*5</w:t>
      </w:r>
      <w:bookmarkEnd w:id="28"/>
      <w:r>
        <w:rPr>
          <w:rFonts w:ascii="Times New Roman" w:hAnsi="Times New Roman"/>
          <w:color w:val="000000"/>
          <w:sz w:val="20"/>
        </w:rPr>
        <w:t xml:space="preserve"> In addition, it is irrelevant that the State received no payment in the condemnation action for the submerged lands. </w:t>
      </w:r>
      <w:r>
        <w:rPr>
          <w:rFonts w:ascii="Times New Roman" w:hAnsi="Times New Roman"/>
          <w:color w:val="000000"/>
          <w:sz w:val="20"/>
        </w:rPr>
        <w:t xml:space="preserve">The owner of lands under navigable waters does not have a right to compensation as against the United States. </w:t>
      </w:r>
      <w:r>
        <w:rPr>
          <w:rFonts w:ascii="Times New Roman" w:hAnsi="Times New Roman"/>
          <w:i/>
          <w:color w:val="000000"/>
          <w:sz w:val="20"/>
        </w:rPr>
        <w:t>See</w:t>
      </w:r>
      <w:r>
        <w:rPr>
          <w:rFonts w:ascii="Times New Roman" w:hAnsi="Times New Roman"/>
          <w:color w:val="000000"/>
          <w:sz w:val="20"/>
        </w:rPr>
        <w:t xml:space="preserve"> </w:t>
      </w:r>
      <w:hyperlink r:id="r37">
        <w:r>
          <w:rPr>
            <w:rFonts w:ascii="Times New Roman" w:hAnsi="Times New Roman"/>
            <w:color w:val="000000"/>
            <w:sz w:val="30"/>
          </w:rPr>
          <w:drawing>
            <wp:inline>
              <wp:extent cx="161925" cy="161925"/>
              <wp:docPr id="11" name="Picture 2"/>
              <a:graphic>
                <a:graphicData uri="http://schemas.openxmlformats.org/drawingml/2006/picture">
                  <p:pic>
                    <p:nvPicPr>
                      <p:cNvPr id="12" name="Picture 2"/>
                      <p:cNvPicPr/>
                    </p:nvPicPr>
                    <p:blipFill>
                      <a:blip r:embed="r27"/>
                      <a:srcRect/>
                      <a:stretch>
                        <a:fillRect/>
                      </a:stretch>
                    </p:blipFill>
                    <p:spPr>
                      <a:xfrm>
                        <a:off x="0" y="0"/>
                        <a:ext cx="161925" cy="161925"/>
                      </a:xfrm>
                      <a:prstGeom prst="rect"/>
                    </p:spPr>
                  </p:pic>
                </a:graphicData>
              </a:graphic>
            </wp:inline>
          </w:drawing>
        </w:r>
      </w:hyperlink>
      <w:hyperlink r:id="r38">
        <w:r>
          <w:rPr>
            <w:rFonts w:ascii="Times New Roman" w:hAnsi="Times New Roman"/>
            <w:i/>
            <w:color w:val="000000"/>
            <w:sz w:val="20"/>
          </w:rPr>
          <w:t>United States v. Commodore Park,</w:t>
        </w:r>
        <w:r>
          <w:rPr>
            <w:rFonts w:ascii="Times New Roman" w:hAnsi="Times New Roman"/>
            <w:color w:val="000000"/>
            <w:sz w:val="20"/>
          </w:rPr>
          <w:t xml:space="preserve"> 324 U.S. 386, 390-92 (1945)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29" w:name="co_anchor_I5591a274adbf11de9b8c85033233"/>
    <w:bookmarkStart w:id="30" w:name="co_anchor_I5591a274adbf11de9b8c850332"/>
    <w:p>
      <w:pPr>
        <w:pBdr>
          <w:left w:val="none" w:space="10"/>
        </w:pBdr>
        <w:spacing w:before="400" w:after="0" w:line="275" w:lineRule="atLeast"/>
        <w:ind w:left="200" w:right="0" w:firstLine="0"/>
      </w:pPr>
      <w:r>
        <w:rPr>
          <w:rFonts w:ascii="Times New Roman" w:hAnsi="Times New Roman"/>
          <w:color w:val="000000"/>
          <w:sz w:val="20"/>
        </w:rPr>
        <w:t xml:space="preserve">B. </w:t>
      </w:r>
      <w:r>
        <w:rPr>
          <w:rFonts w:ascii="Times New Roman" w:hAnsi="Times New Roman"/>
          <w:i/>
          <w:color w:val="000000"/>
          <w:sz w:val="20"/>
        </w:rPr>
        <w:t>Did the Federal Government Intend to Condemn the Submerged Lands?</w:t>
      </w:r>
    </w:p>
    <w:bookmarkEnd w:id="30"/>
    <w:bookmarkEnd w:id="29"/>
    <w:p>
      <w:pPr>
        <w:spacing w:before="0" w:after="0" w:line="275" w:lineRule="atLeast"/>
        <w:jc w:val="both"/>
      </w:pPr>
      <w:r>
        <w:rPr>
          <w:rFonts w:ascii="Times New Roman" w:hAnsi="Times New Roman"/>
          <w:color w:val="000000"/>
          <w:sz w:val="20"/>
        </w:rPr>
        <w:t>The defendants also argue that the federal government did not intend to condemn the submerged lands because: (1) no additional land was taken by the Declaration of Taking or the fourth deed; and (2) there was no need to take the submerged lands because the federal government already owned the submerged lands pursuant to the doctrine of navigational servitude.</w:t>
      </w:r>
    </w:p>
    <w:p>
      <w:pPr>
        <w:spacing w:before="0" w:after="0" w:line="275" w:lineRule="atLeast"/>
        <w:jc w:val="both"/>
      </w:pPr>
      <w:r>
        <w:rPr>
          <w:rFonts w:ascii="Times New Roman" w:hAnsi="Times New Roman"/>
          <w:color w:val="000000"/>
          <w:sz w:val="20"/>
        </w:rPr>
        <w:t> </w:t>
      </w:r>
    </w:p>
    <w:bookmarkStart w:id="31" w:name="co_anchor_I5591a275adbf11de9b8c85033233"/>
    <w:bookmarkStart w:id="32" w:name="co_anchor_I5591a275adbf11de9b8c850332"/>
    <w:p>
      <w:pPr>
        <w:pBdr>
          <w:left w:val="none" w:space="10"/>
        </w:pBdr>
        <w:spacing w:before="400" w:after="0" w:line="275" w:lineRule="atLeast"/>
        <w:ind w:left="200" w:right="0" w:firstLine="0"/>
      </w:pPr>
      <w:r>
        <w:rPr>
          <w:rFonts w:ascii="Times New Roman" w:hAnsi="Times New Roman"/>
          <w:color w:val="000000"/>
          <w:sz w:val="20"/>
        </w:rPr>
        <w:t xml:space="preserve">i. </w:t>
      </w:r>
      <w:r>
        <w:rPr>
          <w:rFonts w:ascii="Times New Roman" w:hAnsi="Times New Roman"/>
          <w:i/>
          <w:color w:val="000000"/>
          <w:sz w:val="20"/>
        </w:rPr>
        <w:t>Do the Declaration of Taking &amp; the Fourth Deed Suggest that the United States did not Condemn the Submerged Lands?</w:t>
      </w:r>
    </w:p>
    <w:bookmarkEnd w:id="32"/>
    <w:bookmarkEnd w:id="31"/>
    <w:p>
      <w:pPr>
        <w:spacing w:before="0" w:after="0" w:line="275" w:lineRule="atLeast"/>
        <w:jc w:val="both"/>
      </w:pPr>
      <w:r>
        <w:rPr>
          <w:rFonts w:ascii="Times New Roman" w:hAnsi="Times New Roman"/>
          <w:color w:val="000000"/>
          <w:sz w:val="20"/>
        </w:rPr>
        <w:t xml:space="preserve">The defendants assert that the 1964 and 1965 deeds from the United States to the plaintiff's predecessors purport to transfer the property that was described in the Declaration of Taking and other documents, not any property that was taken by possession. </w:t>
      </w:r>
      <w:r>
        <w:rPr>
          <w:rFonts w:ascii="Times New Roman" w:hAnsi="Times New Roman"/>
          <w:i/>
          <w:color w:val="000000"/>
          <w:sz w:val="20"/>
        </w:rPr>
        <w:t>See</w:t>
      </w:r>
      <w:r>
        <w:rPr>
          <w:rFonts w:ascii="Times New Roman" w:hAnsi="Times New Roman"/>
          <w:color w:val="000000"/>
          <w:sz w:val="20"/>
        </w:rPr>
        <w:t xml:space="preserve"> Exs. 52, 54. In addition, they claim that the 1989 deed purports only to clarify the 1965 deed and therefore it cannot transfer any additional property. </w:t>
      </w:r>
      <w:r>
        <w:rPr>
          <w:rFonts w:ascii="Times New Roman" w:hAnsi="Times New Roman"/>
          <w:i/>
          <w:color w:val="000000"/>
          <w:sz w:val="20"/>
        </w:rPr>
        <w:t>See</w:t>
      </w:r>
      <w:r>
        <w:rPr>
          <w:rFonts w:ascii="Times New Roman" w:hAnsi="Times New Roman"/>
          <w:color w:val="000000"/>
          <w:sz w:val="20"/>
        </w:rPr>
        <w:t xml:space="preserve"> Ex. 67.</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court disagrees with the defendants' conclusions. As discussed above, regardless of the amount of land described in the Declaration of Taking the federal government's occupation of the submerged lands evidences its intention to take the lands. </w:t>
      </w:r>
      <w:r>
        <w:rPr>
          <w:rFonts w:ascii="Times New Roman" w:hAnsi="Times New Roman"/>
          <w:i/>
          <w:color w:val="000000"/>
          <w:sz w:val="20"/>
        </w:rPr>
        <w:t>See</w:t>
      </w:r>
      <w:r>
        <w:rPr>
          <w:rFonts w:ascii="Times New Roman" w:hAnsi="Times New Roman"/>
          <w:color w:val="000000"/>
          <w:sz w:val="20"/>
        </w:rPr>
        <w:t xml:space="preserve"> Ex. 97. Moreover, the 1943 Judgment on the Declaration of Taking, which expressly references the adjacent submerged lands, supports the court's conclusion. </w:t>
      </w:r>
      <w:r>
        <w:rPr>
          <w:rFonts w:ascii="Times New Roman" w:hAnsi="Times New Roman"/>
          <w:i/>
          <w:color w:val="000000"/>
          <w:sz w:val="20"/>
        </w:rPr>
        <w:t>See</w:t>
      </w:r>
      <w:r>
        <w:rPr>
          <w:rFonts w:ascii="Times New Roman" w:hAnsi="Times New Roman"/>
          <w:color w:val="000000"/>
          <w:sz w:val="20"/>
        </w:rPr>
        <w:t xml:space="preserve"> Ex. 28, ¶ 3.</w:t>
      </w:r>
    </w:p>
    <w:p>
      <w:pPr>
        <w:spacing w:before="0" w:after="0" w:line="275" w:lineRule="atLeast"/>
        <w:jc w:val="both"/>
      </w:pPr>
      <w:r>
        <w:rPr>
          <w:rFonts w:ascii="Times New Roman" w:hAnsi="Times New Roman"/>
          <w:color w:val="000000"/>
          <w:sz w:val="20"/>
        </w:rPr>
        <w:t> </w:t>
      </w:r>
    </w:p>
    <w:bookmarkStart w:id="33" w:name="co_anchor_I5591a276adbf11de9b8c85033233"/>
    <w:bookmarkStart w:id="34" w:name="co_anchor_I5591a276adbf11de9b8c850332"/>
    <w:p>
      <w:pPr>
        <w:pBdr>
          <w:left w:val="none" w:space="10"/>
        </w:pBdr>
        <w:spacing w:before="400" w:after="0" w:line="275" w:lineRule="atLeast"/>
        <w:ind w:left="200" w:right="0" w:firstLine="0"/>
      </w:pPr>
      <w:r>
        <w:rPr>
          <w:rFonts w:ascii="Times New Roman" w:hAnsi="Times New Roman"/>
          <w:color w:val="000000"/>
          <w:sz w:val="20"/>
        </w:rPr>
        <w:t xml:space="preserve">ii. </w:t>
      </w:r>
      <w:r>
        <w:rPr>
          <w:rFonts w:ascii="Times New Roman" w:hAnsi="Times New Roman"/>
          <w:i/>
          <w:color w:val="000000"/>
          <w:sz w:val="20"/>
        </w:rPr>
        <w:t>Was it the United States' Intention Not to Condemn the Submerged Lands Because It Already Had the Right to Use Them Pursuant to the Doctrine of Navigational Servitude?</w:t>
      </w:r>
    </w:p>
    <w:bookmarkEnd w:id="34"/>
    <w:bookmarkEnd w:id="33"/>
    <w:p>
      <w:pPr>
        <w:spacing w:before="0" w:after="0" w:line="275" w:lineRule="atLeast"/>
        <w:jc w:val="both"/>
      </w:pPr>
      <w:r>
        <w:rPr>
          <w:rFonts w:ascii="Times New Roman" w:hAnsi="Times New Roman"/>
          <w:color w:val="000000"/>
          <w:sz w:val="20"/>
        </w:rPr>
        <w:t>The defendants claim that the evidence suggests that the Small Boat Pool was being used for navigational purposes only and that occupation of the pool for navigational purposes did not vest title to real property in the United States or preserve the United States' ownership interest in the submerged lands following the enactment of the federal Submerged Lands Act. The court disagrees.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fundamental public policy represented by the federal navigational servitude doctrine is keeping natural water highways open for public use. </w:t>
      </w:r>
      <w:r>
        <w:rPr>
          <w:rFonts w:ascii="Times New Roman" w:hAnsi="Times New Roman"/>
          <w:i/>
          <w:color w:val="000000"/>
          <w:sz w:val="20"/>
        </w:rPr>
        <w:t>See</w:t>
      </w:r>
      <w:r>
        <w:rPr>
          <w:rFonts w:ascii="Times New Roman" w:hAnsi="Times New Roman"/>
          <w:color w:val="000000"/>
          <w:sz w:val="20"/>
        </w:rPr>
        <w:t xml:space="preserve"> </w:t>
      </w:r>
      <w:r>
        <w:rPr>
          <w:rFonts w:ascii="Times New Roman" w:hAnsi="Times New Roman"/>
          <w:i/>
          <w:color w:val="000000"/>
          <w:sz w:val="20"/>
        </w:rPr>
        <w:t>4 Waters and Water Rights,</w:t>
      </w:r>
      <w:r>
        <w:rPr>
          <w:rFonts w:ascii="Times New Roman" w:hAnsi="Times New Roman"/>
          <w:color w:val="000000"/>
          <w:sz w:val="20"/>
        </w:rPr>
        <w:t xml:space="preserve"> § 30.05, at 74 (Robert Beck ed., 4</w:t>
      </w:r>
      <w:r>
        <w:rPr>
          <w:rFonts w:ascii="Times New Roman" w:hAnsi="Times New Roman"/>
          <w:color w:val="000000"/>
          <w:sz w:val="16"/>
          <w:vertAlign w:val="superscript"/>
        </w:rPr>
        <w:t>th</w:t>
      </w:r>
      <w:r>
        <w:rPr>
          <w:rFonts w:ascii="Times New Roman" w:hAnsi="Times New Roman"/>
          <w:color w:val="000000"/>
          <w:sz w:val="20"/>
        </w:rPr>
        <w:t xml:space="preserve"> ed.1996). The federal government's exercise of dominion over the submerged lands exceeded its general power to navigate the waters, granted to it under the doctrine. According to the uncontroverted testimony of Ray Ladd, from the time of the construction of the Small Boat Pool and throughout the time that the property was operated as a Navy installation, it was fenced and guarded and access to the Small Boat Pool was completely and exclusively regulated by the Navy. The submerged lands were not kept open for public use. Hence, the defendants' assertion that the United States was using the submerged lands pursuant to the Doctrine of Navigational Servitude is unavailing.</w:t>
      </w:r>
    </w:p>
    <w:p>
      <w:pPr>
        <w:spacing w:before="0" w:after="0" w:line="275" w:lineRule="atLeast"/>
        <w:jc w:val="both"/>
      </w:pPr>
      <w:r>
        <w:rPr>
          <w:rFonts w:ascii="Times New Roman" w:hAnsi="Times New Roman"/>
          <w:color w:val="000000"/>
          <w:sz w:val="20"/>
        </w:rPr>
        <w:t> </w:t>
      </w:r>
    </w:p>
    <w:bookmarkStart w:id="35" w:name="co_anchor_I5591a277adbf11de9b8c85033233"/>
    <w:bookmarkStart w:id="36" w:name="co_anchor_I5591a277adbf11de9b8c850332"/>
    <w:p>
      <w:pPr>
        <w:pBdr>
          <w:left w:val="none" w:space="10"/>
        </w:pBdr>
        <w:spacing w:before="400" w:after="0" w:line="275" w:lineRule="atLeast"/>
        <w:ind w:left="200" w:right="0" w:firstLine="0"/>
      </w:pPr>
      <w:r>
        <w:rPr>
          <w:rFonts w:ascii="Times New Roman" w:hAnsi="Times New Roman"/>
          <w:color w:val="000000"/>
          <w:sz w:val="20"/>
        </w:rPr>
        <w:t xml:space="preserve">C. </w:t>
      </w:r>
      <w:r>
        <w:rPr>
          <w:rFonts w:ascii="Times New Roman" w:hAnsi="Times New Roman"/>
          <w:i/>
          <w:color w:val="000000"/>
          <w:sz w:val="20"/>
        </w:rPr>
        <w:t>Should the reference to “submerged lands adjacent to” be interpreted to mean intertidal zone?</w:t>
      </w:r>
    </w:p>
    <w:bookmarkEnd w:id="36"/>
    <w:bookmarkEnd w:id="35"/>
    <w:p>
      <w:pPr>
        <w:spacing w:before="0" w:after="0" w:line="275" w:lineRule="atLeast"/>
        <w:jc w:val="both"/>
      </w:pPr>
      <w:bookmarkStart w:id="37" w:name="co_pp_sp_999_6_1"/>
      <w:r>
        <w:rPr>
          <w:rFonts w:ascii="Times New Roman" w:hAnsi="Times New Roman"/>
          <w:b/>
          <w:color w:val="000000"/>
          <w:sz w:val="20"/>
        </w:rPr>
        <w:t>*6</w:t>
      </w:r>
      <w:bookmarkEnd w:id="37"/>
      <w:r>
        <w:rPr>
          <w:rFonts w:ascii="Times New Roman" w:hAnsi="Times New Roman"/>
          <w:color w:val="000000"/>
          <w:sz w:val="20"/>
        </w:rPr>
        <w:t xml:space="preserve"> Finally, the defendants assert that the term “submerged lands adjacent to” should be interpreted to mean “intertidal zone.” The court finds the defendants' interpretation unreasonable given the literal meanings of both terms. </w:t>
      </w:r>
      <w:r>
        <w:rPr>
          <w:rFonts w:ascii="Times New Roman" w:hAnsi="Times New Roman"/>
          <w:i/>
          <w:color w:val="000000"/>
          <w:sz w:val="20"/>
        </w:rPr>
        <w:t>Compare Webster's II New College Dictionary</w:t>
      </w:r>
      <w:r>
        <w:rPr>
          <w:rFonts w:ascii="Times New Roman" w:hAnsi="Times New Roman"/>
          <w:color w:val="000000"/>
          <w:sz w:val="20"/>
        </w:rPr>
        <w:t xml:space="preserve"> 1098 (2001) (defining “submerge” as: “1. To place under water. 2. To cover with water. 3. To hide from view.”) </w:t>
      </w:r>
      <w:r>
        <w:rPr>
          <w:rFonts w:ascii="Times New Roman" w:hAnsi="Times New Roman"/>
          <w:i/>
          <w:color w:val="000000"/>
          <w:sz w:val="20"/>
        </w:rPr>
        <w:t>with</w:t>
      </w:r>
      <w:r>
        <w:rPr>
          <w:rFonts w:ascii="Times New Roman" w:hAnsi="Times New Roman"/>
          <w:color w:val="000000"/>
          <w:sz w:val="20"/>
        </w:rPr>
        <w:t xml:space="preserve"> </w:t>
      </w:r>
      <w:r>
        <w:rPr>
          <w:rFonts w:ascii="Times New Roman" w:hAnsi="Times New Roman"/>
          <w:i/>
          <w:color w:val="000000"/>
          <w:sz w:val="20"/>
        </w:rPr>
        <w:t>Id.,</w:t>
      </w:r>
      <w:r>
        <w:rPr>
          <w:rFonts w:ascii="Times New Roman" w:hAnsi="Times New Roman"/>
          <w:color w:val="000000"/>
          <w:sz w:val="20"/>
        </w:rPr>
        <w:t xml:space="preserve"> at 580 (defining “intertidal” as: “Of, relating to, or being the region between the extremes of high and low tide.”) Further, in light of Ray Ladd's uncontroverted testimony that the federal government actually occupied submerged lands, the language in the deed cannot be read to refer to the intertidal zone.</w:t>
      </w:r>
    </w:p>
    <w:p>
      <w:pPr>
        <w:spacing w:before="0" w:after="0" w:line="275" w:lineRule="atLeast"/>
        <w:jc w:val="both"/>
      </w:pPr>
      <w:r>
        <w:rPr>
          <w:rFonts w:ascii="Times New Roman" w:hAnsi="Times New Roman"/>
          <w:color w:val="000000"/>
          <w:sz w:val="20"/>
        </w:rPr>
        <w:t> </w:t>
      </w:r>
    </w:p>
    <w:bookmarkStart w:id="38" w:name="co_anchor_I5591a278adbf11de9b8c85033233"/>
    <w:bookmarkStart w:id="39" w:name="co_anchor_I5591a278adbf11de9b8c850332"/>
    <w:p>
      <w:pPr>
        <w:spacing w:before="400" w:after="0" w:line="275" w:lineRule="atLeast"/>
      </w:pPr>
      <w:r>
        <w:rPr>
          <w:rFonts w:ascii="Times New Roman" w:hAnsi="Times New Roman"/>
          <w:color w:val="000000"/>
          <w:sz w:val="20"/>
        </w:rPr>
        <w:t xml:space="preserve">IV. </w:t>
      </w:r>
      <w:r>
        <w:rPr>
          <w:rFonts w:ascii="Times New Roman" w:hAnsi="Times New Roman"/>
          <w:i/>
          <w:color w:val="000000"/>
          <w:sz w:val="20"/>
        </w:rPr>
        <w:t>Did the United States Have the Authority to Convey the Submerged Land to Private Parties?</w:t>
      </w:r>
    </w:p>
    <w:bookmarkEnd w:id="39"/>
    <w:bookmarkEnd w:id="38"/>
    <w:p>
      <w:pPr>
        <w:spacing w:before="0" w:after="0" w:line="275" w:lineRule="atLeast"/>
        <w:jc w:val="both"/>
      </w:pPr>
      <w:r>
        <w:rPr>
          <w:rFonts w:ascii="Times New Roman" w:hAnsi="Times New Roman"/>
          <w:color w:val="000000"/>
          <w:sz w:val="20"/>
        </w:rPr>
        <w:t>The defendants' final argument is that the United States did not have the authority to convey the submerged land to private parties because the lands were, and presently are, held in public trust. For the following reasons the court agrees.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“For centuries, land below the low water mark has been recognized as having a peculiar nature, subject to varying degrees of public demand for rights of navigation, passage, portage, commerce, fishing, recreation, conservation and aesthetics.” </w:t>
      </w:r>
      <w:hyperlink r:id="r39">
        <w:r>
          <w:rPr>
            <w:rFonts w:ascii="Times New Roman" w:hAnsi="Times New Roman"/>
            <w:color w:val="000000"/>
            <w:sz w:val="30"/>
          </w:rPr>
          <w:drawing>
            <wp:inline>
              <wp:extent cx="161925" cy="161925"/>
              <wp:docPr id="13" name="Picture 2"/>
              <a:graphic>
                <a:graphicData uri="http://schemas.openxmlformats.org/drawingml/2006/picture">
                  <p:pic>
                    <p:nvPicPr>
                      <p:cNvPr id="14" name="Picture 2"/>
                      <p:cNvPicPr/>
                    </p:nvPicPr>
                    <p:blipFill>
                      <a:blip r:embed="r27"/>
                      <a:srcRect/>
                      <a:stretch>
                        <a:fillRect/>
                      </a:stretch>
                    </p:blipFill>
                    <p:spPr>
                      <a:xfrm>
                        <a:off x="0" y="0"/>
                        <a:ext cx="161925" cy="161925"/>
                      </a:xfrm>
                      <a:prstGeom prst="rect"/>
                    </p:spPr>
                  </p:pic>
                </a:graphicData>
              </a:graphic>
            </wp:inline>
          </w:drawing>
        </w:r>
      </w:hyperlink>
      <w:hyperlink r:id="r40">
        <w:r>
          <w:rPr>
            <w:rFonts w:ascii="Times New Roman" w:hAnsi="Times New Roman"/>
            <w:i/>
            <w:color w:val="000000"/>
            <w:sz w:val="20"/>
          </w:rPr>
          <w:t>United States v. 1.58 Acres of Land,</w:t>
        </w:r>
        <w:r>
          <w:rPr>
            <w:rFonts w:ascii="Times New Roman" w:hAnsi="Times New Roman"/>
            <w:color w:val="000000"/>
            <w:sz w:val="20"/>
          </w:rPr>
          <w:t xml:space="preserve"> 523 F.Supp. 120, 122 (D.Mass.1981)</w:t>
        </w:r>
      </w:hyperlink>
      <w:r>
        <w:rPr>
          <w:rFonts w:ascii="Times New Roman" w:hAnsi="Times New Roman"/>
          <w:color w:val="000000"/>
          <w:sz w:val="20"/>
        </w:rPr>
        <w:t xml:space="preserve"> (citation omitted). Under common law,</w:t>
      </w:r>
    </w:p>
    <w:p>
      <w:pPr>
        <w:spacing w:before="200" w:after="0" w:line="275" w:lineRule="atLeast"/>
        <w:ind w:left="480" w:right="480" w:firstLine="0"/>
        <w:jc w:val="both"/>
      </w:pPr>
      <w:r>
        <w:rPr>
          <w:rFonts w:ascii="Times New Roman" w:hAnsi="Times New Roman"/>
          <w:color w:val="000000"/>
          <w:sz w:val="20"/>
        </w:rPr>
        <w:t>the rights to property were divided into two categories: a proprietary jus privatum, or ownership interest, and a governmental jus publicum, by which the king held the land in his representative capacity as representative of the people. The king could convey the jus privatum, but could not convey the jus publicum because this interest was held in trust for all the people.</w:t>
      </w:r>
    </w:p>
    <w:p>
      <w:pPr>
        <w:spacing w:before="200" w:after="0" w:line="275" w:lineRule="atLeast"/>
        <w:jc w:val="both"/>
      </w:pPr>
      <w:r>
        <w:rPr>
          <w:rFonts w:ascii="Times New Roman" w:hAnsi="Times New Roman"/>
          <w:i/>
          <w:color w:val="000000"/>
          <w:sz w:val="20"/>
        </w:rPr>
        <w:t>Id.</w:t>
      </w:r>
      <w:r>
        <w:rPr>
          <w:rFonts w:ascii="Times New Roman" w:hAnsi="Times New Roman"/>
          <w:color w:val="000000"/>
          <w:sz w:val="20"/>
        </w:rPr>
        <w:t xml:space="preserve"> (citations and internal quotations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While our federal system of dual sovereignty has resulted in a number of modifications to the common law public trust, the present status of the public trust doctrine is explained in </w:t>
      </w:r>
      <w:hyperlink r:id="r41">
        <w:r>
          <w:rPr>
            <w:rFonts w:ascii="Times New Roman" w:hAnsi="Times New Roman"/>
            <w:color w:val="000000"/>
            <w:sz w:val="30"/>
          </w:rPr>
          <w:drawing>
            <wp:inline>
              <wp:extent cx="161925" cy="161925"/>
              <wp:docPr id="15" name="Picture 2"/>
              <a:graphic>
                <a:graphicData uri="http://schemas.openxmlformats.org/drawingml/2006/picture">
                  <p:pic>
                    <p:nvPicPr>
                      <p:cNvPr id="16" name="Picture 2"/>
                      <p:cNvPicPr/>
                    </p:nvPicPr>
                    <p:blipFill>
                      <a:blip r:embed="r27"/>
                      <a:srcRect/>
                      <a:stretch>
                        <a:fillRect/>
                      </a:stretch>
                    </p:blipFill>
                    <p:spPr>
                      <a:xfrm>
                        <a:off x="0" y="0"/>
                        <a:ext cx="161925" cy="161925"/>
                      </a:xfrm>
                      <a:prstGeom prst="rect"/>
                    </p:spPr>
                  </p:pic>
                </a:graphicData>
              </a:graphic>
            </wp:inline>
          </w:drawing>
        </w:r>
      </w:hyperlink>
      <w:hyperlink r:id="r42">
        <w:r>
          <w:rPr>
            <w:rFonts w:ascii="Times New Roman" w:hAnsi="Times New Roman"/>
            <w:i/>
            <w:color w:val="000000"/>
            <w:sz w:val="20"/>
          </w:rPr>
          <w:t>Illinois Central RR. v. Illinois,</w:t>
        </w:r>
        <w:r>
          <w:rPr>
            <w:rFonts w:ascii="Times New Roman" w:hAnsi="Times New Roman"/>
            <w:color w:val="000000"/>
            <w:sz w:val="20"/>
          </w:rPr>
          <w:t xml:space="preserve"> 146 U.S. 387 (1892)</w:t>
        </w:r>
      </w:hyperlink>
      <w:r>
        <w:rPr>
          <w:rFonts w:ascii="Times New Roman" w:hAnsi="Times New Roman"/>
          <w:color w:val="000000"/>
          <w:sz w:val="20"/>
        </w:rPr>
        <w:t xml:space="preserve">. </w:t>
      </w:r>
      <w:r>
        <w:rPr>
          <w:rFonts w:ascii="Times New Roman" w:hAnsi="Times New Roman"/>
          <w:i/>
          <w:color w:val="000000"/>
          <w:sz w:val="20"/>
        </w:rPr>
        <w:t>Id.</w:t>
      </w:r>
      <w:r>
        <w:rPr>
          <w:rFonts w:ascii="Times New Roman" w:hAnsi="Times New Roman"/>
          <w:color w:val="000000"/>
          <w:sz w:val="20"/>
        </w:rPr>
        <w:t xml:space="preserve"> In </w:t>
      </w:r>
      <w:r>
        <w:rPr>
          <w:rFonts w:ascii="Times New Roman" w:hAnsi="Times New Roman"/>
          <w:i/>
          <w:color w:val="000000"/>
          <w:sz w:val="20"/>
        </w:rPr>
        <w:t>Illinois Central,</w:t>
      </w:r>
      <w:r>
        <w:rPr>
          <w:rFonts w:ascii="Times New Roman" w:hAnsi="Times New Roman"/>
          <w:color w:val="000000"/>
          <w:sz w:val="20"/>
        </w:rPr>
        <w:t xml:space="preserve"> the Supreme Court held that the public trust interest may only be extinguished where the development of the land: (1) furthers one of the values within the scope of the public right, or (2) does not substantially impair the public use of the state sovereign resource, even though no public trust value is advanced. </w:t>
      </w:r>
      <w:hyperlink r:id="r43">
        <w:r>
          <w:rPr>
            <w:rFonts w:ascii="Times New Roman" w:hAnsi="Times New Roman"/>
            <w:color w:val="000000"/>
            <w:sz w:val="30"/>
          </w:rPr>
          <w:drawing>
            <wp:inline>
              <wp:extent cx="161925" cy="161925"/>
              <wp:docPr id="17" name="Picture 2"/>
              <a:graphic>
                <a:graphicData uri="http://schemas.openxmlformats.org/drawingml/2006/picture">
                  <p:pic>
                    <p:nvPicPr>
                      <p:cNvPr id="18" name="Picture 2"/>
                      <p:cNvPicPr/>
                    </p:nvPicPr>
                    <p:blipFill>
                      <a:blip r:embed="r27"/>
                      <a:srcRect/>
                      <a:stretch>
                        <a:fillRect/>
                      </a:stretch>
                    </p:blipFill>
                    <p:spPr>
                      <a:xfrm>
                        <a:off x="0" y="0"/>
                        <a:ext cx="161925" cy="161925"/>
                      </a:xfrm>
                      <a:prstGeom prst="rect"/>
                    </p:spPr>
                  </p:pic>
                </a:graphicData>
              </a:graphic>
            </wp:inline>
          </w:drawing>
        </w:r>
      </w:hyperlink>
      <w:hyperlink r:id="r44">
        <w:r>
          <w:rPr>
            <w:rFonts w:ascii="Times New Roman" w:hAnsi="Times New Roman"/>
            <w:i/>
            <w:color w:val="000000"/>
            <w:sz w:val="20"/>
          </w:rPr>
          <w:t>Illinois Central,</w:t>
        </w:r>
        <w:r>
          <w:rPr>
            <w:rFonts w:ascii="Times New Roman" w:hAnsi="Times New Roman"/>
            <w:color w:val="000000"/>
            <w:sz w:val="20"/>
          </w:rPr>
          <w:t xml:space="preserve"> 146 U.S. at 453</w:t>
        </w:r>
      </w:hyperlink>
      <w:r>
        <w:rPr>
          <w:rFonts w:ascii="Times New Roman" w:hAnsi="Times New Roman"/>
          <w:color w:val="000000"/>
          <w:sz w:val="20"/>
        </w:rPr>
        <w:t>. Neither applies here.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the case at bar, when the federal government took the submerged lands by eminent domain, it obtained the fullest fee that may be had in land subject to the public trust: the </w:t>
      </w:r>
      <w:r>
        <w:rPr>
          <w:rFonts w:ascii="Times New Roman" w:hAnsi="Times New Roman"/>
          <w:i/>
          <w:color w:val="000000"/>
          <w:sz w:val="20"/>
        </w:rPr>
        <w:t>jus privatum</w:t>
      </w:r>
      <w:r>
        <w:rPr>
          <w:rFonts w:ascii="Times New Roman" w:hAnsi="Times New Roman"/>
          <w:color w:val="000000"/>
          <w:sz w:val="20"/>
        </w:rPr>
        <w:t xml:space="preserve"> and the federal government's paramount </w:t>
      </w:r>
      <w:r>
        <w:rPr>
          <w:rFonts w:ascii="Times New Roman" w:hAnsi="Times New Roman"/>
          <w:i/>
          <w:color w:val="000000"/>
          <w:sz w:val="20"/>
        </w:rPr>
        <w:t>jus publicum.</w:t>
      </w:r>
      <w:r>
        <w:rPr>
          <w:rFonts w:ascii="Times New Roman" w:hAnsi="Times New Roman"/>
          <w:color w:val="000000"/>
          <w:sz w:val="20"/>
        </w:rPr>
        <w:t xml:space="preserve"> </w:t>
      </w:r>
      <w:r>
        <w:rPr>
          <w:rFonts w:ascii="Times New Roman" w:hAnsi="Times New Roman"/>
          <w:i/>
          <w:color w:val="000000"/>
          <w:sz w:val="20"/>
        </w:rPr>
        <w:t>See</w:t>
      </w:r>
      <w:r>
        <w:rPr>
          <w:rFonts w:ascii="Times New Roman" w:hAnsi="Times New Roman"/>
          <w:color w:val="000000"/>
          <w:sz w:val="20"/>
        </w:rPr>
        <w:t xml:space="preserve"> </w:t>
      </w:r>
      <w:hyperlink r:id="r45">
        <w:r>
          <w:rPr>
            <w:rFonts w:ascii="Times New Roman" w:hAnsi="Times New Roman"/>
            <w:color w:val="000000"/>
            <w:sz w:val="30"/>
          </w:rPr>
          <w:drawing>
            <wp:inline>
              <wp:extent cx="161925" cy="161925"/>
              <wp:docPr id="19" name="Picture 2"/>
              <a:graphic>
                <a:graphicData uri="http://schemas.openxmlformats.org/drawingml/2006/picture">
                  <p:pic>
                    <p:nvPicPr>
                      <p:cNvPr id="20" name="Picture 2"/>
                      <p:cNvPicPr/>
                    </p:nvPicPr>
                    <p:blipFill>
                      <a:blip r:embed="r27"/>
                      <a:srcRect/>
                      <a:stretch>
                        <a:fillRect/>
                      </a:stretch>
                    </p:blipFill>
                    <p:spPr>
                      <a:xfrm>
                        <a:off x="0" y="0"/>
                        <a:ext cx="161925" cy="161925"/>
                      </a:xfrm>
                      <a:prstGeom prst="rect"/>
                    </p:spPr>
                  </p:pic>
                </a:graphicData>
              </a:graphic>
            </wp:inline>
          </w:drawing>
        </w:r>
      </w:hyperlink>
      <w:hyperlink r:id="r46">
        <w:r>
          <w:rPr>
            <w:rFonts w:ascii="Times New Roman" w:hAnsi="Times New Roman"/>
            <w:i/>
            <w:color w:val="000000"/>
            <w:sz w:val="20"/>
          </w:rPr>
          <w:t>1 .58 Acres of Land,</w:t>
        </w:r>
        <w:r>
          <w:rPr>
            <w:rFonts w:ascii="Times New Roman" w:hAnsi="Times New Roman"/>
            <w:color w:val="000000"/>
            <w:sz w:val="20"/>
          </w:rPr>
          <w:t xml:space="preserve"> 523 F.Supp. at 124</w:t>
        </w:r>
      </w:hyperlink>
      <w:r>
        <w:rPr>
          <w:rFonts w:ascii="Times New Roman" w:hAnsi="Times New Roman"/>
          <w:color w:val="000000"/>
          <w:sz w:val="20"/>
        </w:rPr>
        <w:t xml:space="preserve">. So restricted, neither Maine's nor the federal government's trust responsibilities were destroyed by the taking, since neither government may destroy the trust unless the public trust has been extinguished. </w:t>
      </w:r>
      <w:hyperlink r:id="r47">
        <w:r>
          <w:rPr>
            <w:rFonts w:ascii="Times New Roman" w:hAnsi="Times New Roman"/>
            <w:color w:val="000000"/>
            <w:sz w:val="30"/>
          </w:rPr>
          <w:drawing>
            <wp:inline>
              <wp:extent cx="161925" cy="161925"/>
              <wp:docPr id="21" name="Picture 2"/>
              <a:graphic>
                <a:graphicData uri="http://schemas.openxmlformats.org/drawingml/2006/picture">
                  <p:pic>
                    <p:nvPicPr>
                      <p:cNvPr id="22" name="Picture 2"/>
                      <p:cNvPicPr/>
                    </p:nvPicPr>
                    <p:blipFill>
                      <a:blip r:embed="r27"/>
                      <a:srcRect/>
                      <a:stretch>
                        <a:fillRect/>
                      </a:stretch>
                    </p:blipFill>
                    <p:spPr>
                      <a:xfrm>
                        <a:off x="0" y="0"/>
                        <a:ext cx="161925" cy="161925"/>
                      </a:xfrm>
                      <a:prstGeom prst="rect"/>
                    </p:spPr>
                  </p:pic>
                </a:graphicData>
              </a:graphic>
            </wp:inline>
          </w:drawing>
        </w:r>
      </w:hyperlink>
      <w:hyperlink r:id="r48">
        <w:r>
          <w:rPr>
            <w:rFonts w:ascii="Times New Roman" w:hAnsi="Times New Roman"/>
            <w:i/>
            <w:color w:val="000000"/>
            <w:sz w:val="20"/>
          </w:rPr>
          <w:t>Id.</w:t>
        </w:r>
        <w:r>
          <w:rPr>
            <w:rFonts w:ascii="Times New Roman" w:hAnsi="Times New Roman"/>
            <w:color w:val="000000"/>
            <w:sz w:val="20"/>
          </w:rPr>
          <w:t xml:space="preserve"> at 125;</w:t>
        </w:r>
      </w:hyperlink>
      <w:r>
        <w:rPr>
          <w:rFonts w:ascii="Times New Roman" w:hAnsi="Times New Roman"/>
          <w:color w:val="000000"/>
          <w:sz w:val="20"/>
        </w:rPr>
        <w:t xml:space="preserve"> </w:t>
      </w:r>
      <w:r>
        <w:rPr>
          <w:rFonts w:ascii="Times New Roman" w:hAnsi="Times New Roman"/>
          <w:i/>
          <w:color w:val="000000"/>
          <w:sz w:val="20"/>
        </w:rPr>
        <w:t>see</w:t>
      </w:r>
      <w:r>
        <w:rPr>
          <w:rFonts w:ascii="Times New Roman" w:hAnsi="Times New Roman"/>
          <w:color w:val="000000"/>
          <w:sz w:val="20"/>
        </w:rPr>
        <w:t xml:space="preserve"> </w:t>
      </w:r>
      <w:r>
        <w:rPr>
          <w:rFonts w:ascii="Times New Roman" w:hAnsi="Times New Roman"/>
          <w:i/>
          <w:color w:val="000000"/>
          <w:sz w:val="20"/>
        </w:rPr>
        <w:t xml:space="preserve">also </w:t>
      </w:r>
      <w:hyperlink r:id="r49">
        <w:r>
          <w:rPr>
            <w:rFonts w:ascii="Times New Roman" w:hAnsi="Times New Roman"/>
            <w:i/>
            <w:color w:val="000000"/>
            <w:sz w:val="20"/>
          </w:rPr>
          <w:t>City of Alameda v. Todd Shipyards Corp.,</w:t>
        </w:r>
        <w:r>
          <w:rPr>
            <w:rFonts w:ascii="Times New Roman" w:hAnsi="Times New Roman"/>
            <w:color w:val="000000"/>
            <w:sz w:val="20"/>
          </w:rPr>
          <w:t xml:space="preserve"> 635 F.Supp. 1447, 1450 (N.D.Cal.1986)</w:t>
        </w:r>
      </w:hyperlink>
      <w:r>
        <w:rPr>
          <w:rFonts w:ascii="Times New Roman" w:hAnsi="Times New Roman"/>
          <w:color w:val="000000"/>
          <w:sz w:val="20"/>
        </w:rPr>
        <w:t xml:space="preserve"> (holding that “[t]he United States may not abdicate the role of trustee for the public when it acquires land by condemnation”). Although the federal government temporarily exercised exclusive domain over the submerged lands, it did not undertake any development of those lands that permanently extinguished Maine's public interest in the lands nor did it substantially impair the public use of the submerged lands. </w:t>
      </w:r>
      <w:r>
        <w:rPr>
          <w:rFonts w:ascii="Times New Roman" w:hAnsi="Times New Roman"/>
          <w:i/>
          <w:color w:val="000000"/>
          <w:sz w:val="20"/>
        </w:rPr>
        <w:t>See</w:t>
      </w:r>
      <w:r>
        <w:rPr>
          <w:rFonts w:ascii="Times New Roman" w:hAnsi="Times New Roman"/>
          <w:color w:val="000000"/>
          <w:sz w:val="20"/>
        </w:rPr>
        <w:t xml:space="preserve"> </w:t>
      </w:r>
      <w:r>
        <w:rPr>
          <w:rFonts w:ascii="Times New Roman" w:hAnsi="Times New Roman"/>
          <w:i/>
          <w:color w:val="000000"/>
          <w:sz w:val="20"/>
        </w:rPr>
        <w:t>Illinois Central</w:t>
      </w:r>
      <w:r>
        <w:rPr>
          <w:rFonts w:ascii="Times New Roman" w:hAnsi="Times New Roman"/>
          <w:color w:val="000000"/>
          <w:sz w:val="20"/>
        </w:rPr>
        <w:t xml:space="preserve"> at 453. Rather, the </w:t>
      </w:r>
      <w:r>
        <w:rPr>
          <w:rFonts w:ascii="Times New Roman" w:hAnsi="Times New Roman"/>
          <w:i/>
          <w:color w:val="000000"/>
          <w:sz w:val="20"/>
        </w:rPr>
        <w:t>jus publicum</w:t>
      </w:r>
      <w:r>
        <w:rPr>
          <w:rFonts w:ascii="Times New Roman" w:hAnsi="Times New Roman"/>
          <w:color w:val="000000"/>
          <w:sz w:val="20"/>
        </w:rPr>
        <w:t xml:space="preserve"> was temporarily suppressed during a time of war. </w:t>
      </w:r>
      <w:r>
        <w:rPr>
          <w:rFonts w:ascii="Times New Roman" w:hAnsi="Times New Roman"/>
          <w:i/>
          <w:color w:val="000000"/>
          <w:sz w:val="20"/>
        </w:rPr>
        <w:t>See</w:t>
      </w:r>
      <w:r>
        <w:rPr>
          <w:rFonts w:ascii="Times New Roman" w:hAnsi="Times New Roman"/>
          <w:color w:val="000000"/>
          <w:sz w:val="20"/>
        </w:rPr>
        <w:t xml:space="preserve"> U.S. Const. art. I, § 8 (granting Congress the power “to make Rules for the Government and Regulation of the land and naval forces”). Therefore, when the Navy ceased to use the property and the federal government conveyed the condemned property to a private individual, it conveyed the property subject to the public trust. </w:t>
      </w:r>
      <w:r>
        <w:rPr>
          <w:rFonts w:ascii="Times New Roman" w:hAnsi="Times New Roman"/>
          <w:i/>
          <w:color w:val="000000"/>
          <w:sz w:val="20"/>
        </w:rPr>
        <w:t>See</w:t>
      </w:r>
      <w:r>
        <w:rPr>
          <w:rFonts w:ascii="Times New Roman" w:hAnsi="Times New Roman"/>
          <w:color w:val="000000"/>
          <w:sz w:val="20"/>
        </w:rPr>
        <w:t xml:space="preserve"> </w:t>
      </w:r>
      <w:hyperlink r:id="r50">
        <w:r>
          <w:rPr>
            <w:rFonts w:ascii="Times New Roman" w:hAnsi="Times New Roman"/>
            <w:i/>
            <w:color w:val="000000"/>
            <w:sz w:val="20"/>
          </w:rPr>
          <w:t>City of Alameda,</w:t>
        </w:r>
        <w:r>
          <w:rPr>
            <w:rFonts w:ascii="Times New Roman" w:hAnsi="Times New Roman"/>
            <w:color w:val="000000"/>
            <w:sz w:val="20"/>
          </w:rPr>
          <w:t xml:space="preserve"> 635 F.Supp. at 1450</w:t>
        </w:r>
      </w:hyperlink>
      <w:r>
        <w:rPr>
          <w:rFonts w:ascii="Times New Roman" w:hAnsi="Times New Roman"/>
          <w:color w:val="000000"/>
          <w:sz w:val="20"/>
        </w:rPr>
        <w:t xml:space="preserve"> (“The United States acquired sole trusteeship of the condemned portion of the land. If this portion was subject to the action of the tides at the time of condemnation, then the United States acquired this portion subject to the public trust, and the United States may not convey this portion to a private party.”) (citing </w:t>
      </w:r>
      <w:hyperlink r:id="r51">
        <w:r>
          <w:rPr>
            <w:rFonts w:ascii="Times New Roman" w:hAnsi="Times New Roman"/>
            <w:color w:val="000000"/>
            <w:sz w:val="30"/>
          </w:rPr>
          <w:drawing>
            <wp:inline>
              <wp:extent cx="161925" cy="161925"/>
              <wp:docPr id="23" name="Picture 2"/>
              <a:graphic>
                <a:graphicData uri="http://schemas.openxmlformats.org/drawingml/2006/picture">
                  <p:pic>
                    <p:nvPicPr>
                      <p:cNvPr id="24" name="Picture 2"/>
                      <p:cNvPicPr/>
                    </p:nvPicPr>
                    <p:blipFill>
                      <a:blip r:embed="r27"/>
                      <a:srcRect/>
                      <a:stretch>
                        <a:fillRect/>
                      </a:stretch>
                    </p:blipFill>
                    <p:spPr>
                      <a:xfrm>
                        <a:off x="0" y="0"/>
                        <a:ext cx="161925" cy="161925"/>
                      </a:xfrm>
                      <a:prstGeom prst="rect"/>
                    </p:spPr>
                  </p:pic>
                </a:graphicData>
              </a:graphic>
            </wp:inline>
          </w:drawing>
        </w:r>
      </w:hyperlink>
      <w:hyperlink r:id="r52">
        <w:r>
          <w:rPr>
            <w:rFonts w:ascii="Times New Roman" w:hAnsi="Times New Roman"/>
            <w:i/>
            <w:color w:val="000000"/>
            <w:sz w:val="20"/>
          </w:rPr>
          <w:t>Illinois Central R. Co.,</w:t>
        </w:r>
        <w:r>
          <w:rPr>
            <w:rFonts w:ascii="Times New Roman" w:hAnsi="Times New Roman"/>
            <w:color w:val="000000"/>
            <w:sz w:val="20"/>
          </w:rPr>
          <w:t xml:space="preserve"> 146 U.S. 387 (1892)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40" w:name="co_pp_sp_999_7_1"/>
      <w:r>
        <w:rPr>
          <w:rFonts w:ascii="Times New Roman" w:hAnsi="Times New Roman"/>
          <w:b/>
          <w:color w:val="000000"/>
          <w:sz w:val="20"/>
        </w:rPr>
        <w:t>*7</w:t>
      </w:r>
      <w:bookmarkEnd w:id="40"/>
      <w:r>
        <w:rPr>
          <w:rFonts w:ascii="Times New Roman" w:hAnsi="Times New Roman"/>
          <w:color w:val="000000"/>
          <w:sz w:val="20"/>
        </w:rPr>
        <w:t xml:space="preserve"> This case can be distinguished from </w:t>
      </w:r>
      <w:hyperlink r:id="r53">
        <w:r>
          <w:rPr>
            <w:rFonts w:ascii="Times New Roman" w:hAnsi="Times New Roman"/>
            <w:color w:val="000000"/>
            <w:sz w:val="30"/>
          </w:rPr>
          <w:drawing>
            <wp:inline>
              <wp:extent cx="161925" cy="161925"/>
              <wp:docPr id="25" name="Picture 2"/>
              <a:graphic>
                <a:graphicData uri="http://schemas.openxmlformats.org/drawingml/2006/picture">
                  <p:pic>
                    <p:nvPicPr>
                      <p:cNvPr id="26" name="Picture 2"/>
                      <p:cNvPicPr/>
                    </p:nvPicPr>
                    <p:blipFill>
                      <a:blip r:embed="r27"/>
                      <a:srcRect/>
                      <a:stretch>
                        <a:fillRect/>
                      </a:stretch>
                    </p:blipFill>
                    <p:spPr>
                      <a:xfrm>
                        <a:off x="0" y="0"/>
                        <a:ext cx="161925" cy="161925"/>
                      </a:xfrm>
                      <a:prstGeom prst="rect"/>
                    </p:spPr>
                  </p:pic>
                </a:graphicData>
              </a:graphic>
            </wp:inline>
          </w:drawing>
        </w:r>
      </w:hyperlink>
      <w:hyperlink r:id="r54">
        <w:r>
          <w:rPr>
            <w:rFonts w:ascii="Times New Roman" w:hAnsi="Times New Roman"/>
            <w:i/>
            <w:color w:val="000000"/>
            <w:sz w:val="20"/>
          </w:rPr>
          <w:t>United States v. 11.037 Acres of Land,</w:t>
        </w:r>
        <w:r>
          <w:rPr>
            <w:rFonts w:ascii="Times New Roman" w:hAnsi="Times New Roman"/>
            <w:color w:val="000000"/>
            <w:sz w:val="20"/>
          </w:rPr>
          <w:t xml:space="preserve"> 685 F.Supp. 214 (N.D.Cal.1988)</w:t>
        </w:r>
      </w:hyperlink>
      <w:r>
        <w:rPr>
          <w:rFonts w:ascii="Times New Roman" w:hAnsi="Times New Roman"/>
          <w:color w:val="000000"/>
          <w:sz w:val="20"/>
        </w:rPr>
        <w:t xml:space="preserve"> cited by the plaintiff in support of his argument that the public trust doctrine was extinguished in the taking. </w:t>
      </w:r>
      <w:r>
        <w:rPr>
          <w:rFonts w:ascii="Times New Roman" w:hAnsi="Times New Roman"/>
          <w:i/>
          <w:color w:val="000000"/>
          <w:sz w:val="20"/>
        </w:rPr>
        <w:t>11.037 Acres</w:t>
      </w:r>
      <w:r>
        <w:rPr>
          <w:rFonts w:ascii="Times New Roman" w:hAnsi="Times New Roman"/>
          <w:color w:val="000000"/>
          <w:sz w:val="20"/>
        </w:rPr>
        <w:t xml:space="preserve"> involved a dispute between the State of California and the federal government, as opposed to this dispute between the State of Maine and a private individual. </w:t>
      </w:r>
      <w:r>
        <w:rPr>
          <w:rFonts w:ascii="Times New Roman" w:hAnsi="Times New Roman"/>
          <w:i/>
          <w:color w:val="000000"/>
          <w:sz w:val="20"/>
        </w:rPr>
        <w:t>See</w:t>
      </w:r>
      <w:r>
        <w:rPr>
          <w:rFonts w:ascii="Times New Roman" w:hAnsi="Times New Roman"/>
          <w:color w:val="000000"/>
          <w:sz w:val="20"/>
        </w:rPr>
        <w:t xml:space="preserve"> </w:t>
      </w:r>
      <w:r>
        <w:rPr>
          <w:rFonts w:ascii="Times New Roman" w:hAnsi="Times New Roman"/>
          <w:i/>
          <w:color w:val="000000"/>
          <w:sz w:val="20"/>
        </w:rPr>
        <w:t>generally</w:t>
      </w:r>
      <w:r>
        <w:rPr>
          <w:rFonts w:ascii="Times New Roman" w:hAnsi="Times New Roman"/>
          <w:color w:val="000000"/>
          <w:sz w:val="20"/>
        </w:rPr>
        <w:t xml:space="preserve"> </w:t>
      </w:r>
      <w:r>
        <w:rPr>
          <w:rFonts w:ascii="Times New Roman" w:hAnsi="Times New Roman"/>
          <w:i/>
          <w:color w:val="000000"/>
          <w:sz w:val="20"/>
        </w:rPr>
        <w:t>id.</w:t>
      </w:r>
      <w:r>
        <w:rPr>
          <w:rFonts w:ascii="Times New Roman" w:hAnsi="Times New Roman"/>
          <w:color w:val="000000"/>
          <w:sz w:val="20"/>
        </w:rPr>
        <w:t xml:space="preserve"> In addition, </w:t>
      </w:r>
      <w:r>
        <w:rPr>
          <w:rFonts w:ascii="Times New Roman" w:hAnsi="Times New Roman"/>
          <w:i/>
          <w:color w:val="000000"/>
          <w:sz w:val="20"/>
        </w:rPr>
        <w:t>11.037 Acres</w:t>
      </w:r>
      <w:r>
        <w:rPr>
          <w:rFonts w:ascii="Times New Roman" w:hAnsi="Times New Roman"/>
          <w:color w:val="000000"/>
          <w:sz w:val="20"/>
        </w:rPr>
        <w:t xml:space="preserve"> involved a dispute over filled tidelands, as opposed to this dispute over submerged waters. </w:t>
      </w:r>
      <w:r>
        <w:rPr>
          <w:rFonts w:ascii="Times New Roman" w:hAnsi="Times New Roman"/>
          <w:i/>
          <w:color w:val="000000"/>
          <w:sz w:val="20"/>
        </w:rPr>
        <w:t>See</w:t>
      </w:r>
      <w:r>
        <w:rPr>
          <w:rFonts w:ascii="Times New Roman" w:hAnsi="Times New Roman"/>
          <w:color w:val="000000"/>
          <w:sz w:val="20"/>
        </w:rPr>
        <w:t xml:space="preserve"> </w:t>
      </w:r>
      <w:r>
        <w:rPr>
          <w:rFonts w:ascii="Times New Roman" w:hAnsi="Times New Roman"/>
          <w:i/>
          <w:color w:val="000000"/>
          <w:sz w:val="20"/>
        </w:rPr>
        <w:t>generally</w:t>
      </w:r>
      <w:r>
        <w:rPr>
          <w:rFonts w:ascii="Times New Roman" w:hAnsi="Times New Roman"/>
          <w:color w:val="000000"/>
          <w:sz w:val="20"/>
        </w:rPr>
        <w:t xml:space="preserve">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Further, although the plaintiff correctly asserts that a federal grant must be analyzed under federal law, </w:t>
      </w:r>
      <w:r>
        <w:rPr>
          <w:rFonts w:ascii="Times New Roman" w:hAnsi="Times New Roman"/>
          <w:i/>
          <w:color w:val="000000"/>
          <w:sz w:val="20"/>
        </w:rPr>
        <w:t>see</w:t>
      </w:r>
      <w:r>
        <w:rPr>
          <w:rFonts w:ascii="Times New Roman" w:hAnsi="Times New Roman"/>
          <w:color w:val="000000"/>
          <w:sz w:val="20"/>
        </w:rPr>
        <w:t xml:space="preserve"> </w:t>
      </w:r>
      <w:hyperlink r:id="r55">
        <w:r>
          <w:rPr>
            <w:rFonts w:ascii="Times New Roman" w:hAnsi="Times New Roman"/>
            <w:color w:val="000000"/>
            <w:sz w:val="30"/>
          </w:rPr>
          <w:drawing>
            <wp:inline>
              <wp:extent cx="161925" cy="161925"/>
              <wp:docPr id="27" name="Picture 3"/>
              <a:graphic>
                <a:graphicData uri="http://schemas.openxmlformats.org/drawingml/2006/picture">
                  <p:pic>
                    <p:nvPicPr>
                      <p:cNvPr id="28" name="Picture 3"/>
                      <p:cNvPicPr/>
                    </p:nvPicPr>
                    <p:blipFill>
                      <a:blip r:embed="r36"/>
                      <a:srcRect/>
                      <a:stretch>
                        <a:fillRect/>
                      </a:stretch>
                    </p:blipFill>
                    <p:spPr>
                      <a:xfrm>
                        <a:off x="0" y="0"/>
                        <a:ext cx="161925" cy="161925"/>
                      </a:xfrm>
                      <a:prstGeom prst="rect"/>
                    </p:spPr>
                  </p:pic>
                </a:graphicData>
              </a:graphic>
            </wp:inline>
          </w:drawing>
        </w:r>
      </w:hyperlink>
      <w:hyperlink r:id="r56">
        <w:r>
          <w:rPr>
            <w:rFonts w:ascii="Times New Roman" w:hAnsi="Times New Roman"/>
            <w:i/>
            <w:color w:val="000000"/>
            <w:sz w:val="20"/>
          </w:rPr>
          <w:t>Bonelli Cattle Co. v. Arizona, et al.,</w:t>
        </w:r>
        <w:r>
          <w:rPr>
            <w:rFonts w:ascii="Times New Roman" w:hAnsi="Times New Roman"/>
            <w:color w:val="000000"/>
            <w:sz w:val="20"/>
          </w:rPr>
          <w:t xml:space="preserve"> 414 U.S. 313, 319-20 (1973)</w:t>
        </w:r>
      </w:hyperlink>
      <w:r>
        <w:rPr>
          <w:rFonts w:ascii="Times New Roman" w:hAnsi="Times New Roman"/>
          <w:color w:val="000000"/>
          <w:sz w:val="20"/>
        </w:rPr>
        <w:t xml:space="preserve">, the court's conclusion regarding the federal government's conveyance is consistent with the Law Court's holding in </w:t>
      </w:r>
      <w:hyperlink r:id="r57">
        <w:r>
          <w:rPr>
            <w:rFonts w:ascii="Times New Roman" w:hAnsi="Times New Roman"/>
            <w:i/>
            <w:color w:val="000000"/>
            <w:sz w:val="20"/>
          </w:rPr>
          <w:t>Opinion of the Justices,</w:t>
        </w:r>
        <w:r>
          <w:rPr>
            <w:rFonts w:ascii="Times New Roman" w:hAnsi="Times New Roman"/>
            <w:color w:val="000000"/>
            <w:sz w:val="20"/>
          </w:rPr>
          <w:t xml:space="preserve"> 437 A.2d 597 (Me.1981)</w:t>
        </w:r>
      </w:hyperlink>
      <w:r>
        <w:rPr>
          <w:rFonts w:ascii="Times New Roman" w:hAnsi="Times New Roman"/>
          <w:color w:val="000000"/>
          <w:sz w:val="20"/>
        </w:rPr>
        <w:t xml:space="preserve">. In </w:t>
      </w:r>
      <w:r>
        <w:rPr>
          <w:rFonts w:ascii="Times New Roman" w:hAnsi="Times New Roman"/>
          <w:i/>
          <w:color w:val="000000"/>
          <w:sz w:val="20"/>
        </w:rPr>
        <w:t>Opinion of the Justices,</w:t>
      </w:r>
      <w:r>
        <w:rPr>
          <w:rFonts w:ascii="Times New Roman" w:hAnsi="Times New Roman"/>
          <w:color w:val="000000"/>
          <w:sz w:val="20"/>
        </w:rPr>
        <w:t xml:space="preserve"> the court expressed an opinion favorable to a bill to release the state's public trust in submerged and intertidal lands that were filled as of October 1, 1975. </w:t>
      </w:r>
      <w:r>
        <w:rPr>
          <w:rFonts w:ascii="Times New Roman" w:hAnsi="Times New Roman"/>
          <w:i/>
          <w:color w:val="000000"/>
          <w:sz w:val="20"/>
        </w:rPr>
        <w:t>Id.</w:t>
      </w:r>
      <w:r>
        <w:rPr>
          <w:rFonts w:ascii="Times New Roman" w:hAnsi="Times New Roman"/>
          <w:color w:val="000000"/>
          <w:sz w:val="20"/>
        </w:rPr>
        <w:t xml:space="preserve"> at 607. However, the court also recognized that any legislation giving up public rights must satisfy a particularly demanding standard of reasonableness. </w:t>
      </w:r>
      <w:r>
        <w:rPr>
          <w:rFonts w:ascii="Times New Roman" w:hAnsi="Times New Roman"/>
          <w:i/>
          <w:color w:val="000000"/>
          <w:sz w:val="20"/>
        </w:rPr>
        <w:t>Id.</w:t>
      </w:r>
      <w:r>
        <w:rPr>
          <w:rFonts w:ascii="Times New Roman" w:hAnsi="Times New Roman"/>
          <w:color w:val="000000"/>
          <w:sz w:val="20"/>
        </w:rPr>
        <w:t xml:space="preserve"> In its analysis the court considered: (1) the legitimacy and importance of clearing title so that commercial and other activity could go forward unimpaired by legal uncertainties; (2) the legislative finding that the lands in question had become substantially valueless for public trust purposes; (3) the legislative determination that the public trust interest in remaining submerged and intertidal lands was not impaired by the release; (4) the legislative finding that expectations had developed in the private parties who for long periods had relied on their title to filled land and in the municipalities who have taxed those lands; and (5) the fact that the release did not deprive the state of any of its broad regulatory authority over the lands in question. </w:t>
      </w:r>
      <w:r>
        <w:rPr>
          <w:rFonts w:ascii="Times New Roman" w:hAnsi="Times New Roman"/>
          <w:i/>
          <w:color w:val="000000"/>
          <w:sz w:val="20"/>
        </w:rPr>
        <w:t>See</w:t>
      </w:r>
      <w:r>
        <w:rPr>
          <w:rFonts w:ascii="Times New Roman" w:hAnsi="Times New Roman"/>
          <w:color w:val="000000"/>
          <w:sz w:val="20"/>
        </w:rPr>
        <w:t xml:space="preserve"> </w:t>
      </w:r>
      <w:r>
        <w:rPr>
          <w:rFonts w:ascii="Times New Roman" w:hAnsi="Times New Roman"/>
          <w:i/>
          <w:color w:val="000000"/>
          <w:sz w:val="20"/>
        </w:rPr>
        <w:t>id.</w:t>
      </w:r>
      <w:r>
        <w:rPr>
          <w:rFonts w:ascii="Times New Roman" w:hAnsi="Times New Roman"/>
          <w:color w:val="000000"/>
          <w:sz w:val="20"/>
        </w:rPr>
        <w:t xml:space="preserve"> at 607-09.</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Applying the factors considered in </w:t>
      </w:r>
      <w:r>
        <w:rPr>
          <w:rFonts w:ascii="Times New Roman" w:hAnsi="Times New Roman"/>
          <w:i/>
          <w:color w:val="000000"/>
          <w:sz w:val="20"/>
        </w:rPr>
        <w:t>Opinion of the Justices</w:t>
      </w:r>
      <w:r>
        <w:rPr>
          <w:rFonts w:ascii="Times New Roman" w:hAnsi="Times New Roman"/>
          <w:color w:val="000000"/>
          <w:sz w:val="20"/>
        </w:rPr>
        <w:t xml:space="preserve"> to the present case results in the retention of the </w:t>
      </w:r>
      <w:r>
        <w:rPr>
          <w:rFonts w:ascii="Times New Roman" w:hAnsi="Times New Roman"/>
          <w:i/>
          <w:color w:val="000000"/>
          <w:sz w:val="20"/>
        </w:rPr>
        <w:t>jus publicum.</w:t>
      </w:r>
      <w:r>
        <w:rPr>
          <w:rFonts w:ascii="Times New Roman" w:hAnsi="Times New Roman"/>
          <w:color w:val="000000"/>
          <w:sz w:val="20"/>
        </w:rPr>
        <w:t xml:space="preserve"> First, although all parties agree that there is a need to clear title, either outcome will clear title and the need to clear title is not driven by the plaintiff's need to have commercial and/or other activity go forward. Second, the submerged lands have not become substantially valueless for public trust purposes; rather, the public has specifically expressed an interest in mooring in the pool. Third, releasing the submerged lands to the plaintiff would impair the public trust because the plaintiff would be allowed to exercise control over the pool consistent with exclusive ownership. Fourth, although the plaintiff has claimed title to the lands for a long period of time, the ownership was pursuant to a quitclaim deed, and there is no evidence that the City of Portland or the Town of Long Island ever acceded to the plaintiff's ownership of the lands by taxing him on them. Finally, although the release of the lands to the plaintiff would still allow the state to exercise broad regulatory authority over the submerged lands, the state's authority would not be tantamount to the authority it would have over the lands if the </w:t>
      </w:r>
      <w:r>
        <w:rPr>
          <w:rFonts w:ascii="Times New Roman" w:hAnsi="Times New Roman"/>
          <w:i/>
          <w:color w:val="000000"/>
          <w:sz w:val="20"/>
        </w:rPr>
        <w:t>jus publicum</w:t>
      </w:r>
      <w:r>
        <w:rPr>
          <w:rFonts w:ascii="Times New Roman" w:hAnsi="Times New Roman"/>
          <w:color w:val="000000"/>
          <w:sz w:val="20"/>
        </w:rPr>
        <w:t xml:space="preserve"> were retained.</w:t>
      </w:r>
    </w:p>
    <w:p>
      <w:pPr>
        <w:spacing w:before="0" w:after="0" w:line="275" w:lineRule="atLeast"/>
        <w:jc w:val="both"/>
      </w:pPr>
      <w:r>
        <w:rPr>
          <w:rFonts w:ascii="Times New Roman" w:hAnsi="Times New Roman"/>
          <w:color w:val="000000"/>
          <w:sz w:val="20"/>
        </w:rPr>
        <w:t> </w:t>
      </w:r>
    </w:p>
    <w:bookmarkStart w:id="41" w:name="co_anchor_I5591a279adbf11de9b8c85033233"/>
    <w:bookmarkStart w:id="42" w:name="co_anchor_I5591a279adbf11de9b8c850332"/>
    <w:p>
      <w:pPr>
        <w:spacing w:before="600" w:after="0" w:line="275" w:lineRule="atLeast"/>
        <w:jc w:val="center"/>
      </w:pPr>
      <w:r>
        <w:rPr>
          <w:rFonts w:ascii="Times New Roman" w:hAnsi="Times New Roman"/>
          <w:i/>
          <w:color w:val="000000"/>
          <w:sz w:val="20"/>
        </w:rPr>
        <w:t>DECISION</w:t>
      </w:r>
    </w:p>
    <w:bookmarkEnd w:id="42"/>
    <w:bookmarkEnd w:id="41"/>
    <w:p>
      <w:pPr>
        <w:spacing w:before="200" w:after="0" w:line="275" w:lineRule="atLeast"/>
        <w:jc w:val="both"/>
      </w:pPr>
      <w:bookmarkStart w:id="43" w:name="co_pp_sp_999_8_1"/>
      <w:r>
        <w:rPr>
          <w:rFonts w:ascii="Times New Roman" w:hAnsi="Times New Roman"/>
          <w:b/>
          <w:color w:val="000000"/>
          <w:sz w:val="20"/>
        </w:rPr>
        <w:t>*8</w:t>
      </w:r>
      <w:bookmarkEnd w:id="43"/>
      <w:r>
        <w:rPr>
          <w:rFonts w:ascii="Times New Roman" w:hAnsi="Times New Roman"/>
          <w:color w:val="000000"/>
          <w:sz w:val="20"/>
        </w:rPr>
        <w:t xml:space="preserve"> Based upon the foregoing, and pursuant to </w:t>
      </w:r>
      <w:hyperlink r:id="r58">
        <w:r>
          <w:rPr>
            <w:rFonts w:ascii="Times New Roman" w:hAnsi="Times New Roman"/>
            <w:color w:val="000000"/>
            <w:sz w:val="20"/>
          </w:rPr>
          <w:t>M.R. Civ. P. 79(a)</w:t>
        </w:r>
      </w:hyperlink>
      <w:r>
        <w:rPr>
          <w:rFonts w:ascii="Times New Roman" w:hAnsi="Times New Roman"/>
          <w:color w:val="000000"/>
          <w:sz w:val="20"/>
        </w:rPr>
        <w:t>, the Clerk is directed to enter this Decision on the Civil Docket by a notation incorporating it by reference and the entry is</w:t>
      </w:r>
    </w:p>
    <w:p>
      <w:pPr>
        <w:spacing w:before="200" w:after="0" w:line="275" w:lineRule="atLeast"/>
        <w:ind w:left="200" w:right="0" w:firstLine="0"/>
        <w:jc w:val="both"/>
      </w:pPr>
      <w:r>
        <w:rPr>
          <w:rFonts w:ascii="Times New Roman" w:hAnsi="Times New Roman"/>
          <w:color w:val="000000"/>
          <w:sz w:val="20"/>
        </w:rPr>
        <w:t>Count I is dismissed with prejudice;</w:t>
      </w:r>
    </w:p>
    <w:p>
      <w:pPr>
        <w:spacing w:before="200" w:after="0" w:line="275" w:lineRule="atLeast"/>
        <w:ind w:left="200" w:right="0" w:firstLine="0"/>
        <w:jc w:val="both"/>
      </w:pPr>
      <w:r>
        <w:rPr>
          <w:rFonts w:ascii="Times New Roman" w:hAnsi="Times New Roman"/>
          <w:color w:val="000000"/>
          <w:sz w:val="20"/>
        </w:rPr>
        <w:t>Judgment for the Defendant Town of Long Island on Count III;</w:t>
      </w:r>
    </w:p>
    <w:p>
      <w:pPr>
        <w:spacing w:before="200" w:after="0" w:line="275" w:lineRule="atLeast"/>
        <w:ind w:left="200" w:right="0" w:firstLine="0"/>
        <w:jc w:val="both"/>
      </w:pPr>
      <w:r>
        <w:rPr>
          <w:rFonts w:ascii="Times New Roman" w:hAnsi="Times New Roman"/>
          <w:color w:val="000000"/>
          <w:sz w:val="20"/>
        </w:rPr>
        <w:t>On Counts II and IV, it is declared that the plaintiff has no interest in the submerged land known as the Small Boat Pool, and that the same is owned by the State of Maine; and</w:t>
      </w:r>
    </w:p>
    <w:p>
      <w:pPr>
        <w:spacing w:before="200" w:after="0" w:line="275" w:lineRule="atLeast"/>
        <w:ind w:left="200" w:right="0" w:firstLine="0"/>
        <w:jc w:val="both"/>
      </w:pPr>
      <w:r>
        <w:rPr>
          <w:rFonts w:ascii="Times New Roman" w:hAnsi="Times New Roman"/>
          <w:color w:val="000000"/>
          <w:sz w:val="20"/>
        </w:rPr>
        <w:t>Costs are allowed to the Defendants Town of Long Island and the State of Maine as prevailing parties.</w:t>
      </w:r>
    </w:p>
    <w:p>
      <w:pPr>
        <w:spacing w:before="0" w:after="0" w:line="275" w:lineRule="atLeast"/>
        <w:jc w:val="both"/>
      </w:pPr>
      <w:r>
        <w:rPr>
          <w:rFonts w:ascii="Times New Roman" w:hAnsi="Times New Roman"/>
          <w:color w:val="000000"/>
          <w:sz w:val="20"/>
        </w:rPr>
        <w:t> </w:t>
      </w:r>
    </w:p>
    <w:bookmarkStart w:id="44" w:name="co_allCitations_1"/>
    <w:p>
      <w:pPr>
        <w:keepNext/>
        <w:keepLines/>
        <w:spacing w:before="200" w:after="0" w:line="275" w:lineRule="atLeast"/>
        <w:jc w:val="both"/>
      </w:pPr>
      <w:r>
        <w:rPr>
          <w:rFonts w:ascii="Times New Roman" w:hAnsi="Times New Roman"/>
          <w:b/>
          <w:color w:val="212121"/>
          <w:sz w:val="20"/>
        </w:rPr>
        <w:t>All Citations</w:t>
      </w:r>
    </w:p>
    <w:bookmarkEnd w:id="44"/>
    <w:p>
      <w:pPr>
        <w:spacing w:before="200" w:after="0" w:line="275" w:lineRule="atLeast"/>
        <w:jc w:val="both"/>
      </w:pPr>
      <w:r>
        <w:rPr>
          <w:rFonts w:ascii="Times New Roman" w:hAnsi="Times New Roman"/>
          <w:color w:val="000000"/>
          <w:sz w:val="20"/>
        </w:rPr>
        <w:t>Not Reported in A.2d, 2004 WL 2185976</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45" w:name="co_footnote_B00112005199965_1"/>
            <w:hyperlink w:anchor="co_fnRef_B00112005199965_ID0EQQAE_1">
              <w:r>
                <w:rPr>
                  <w:rFonts w:ascii="Times New Roman" w:hAnsi="Times New Roman"/>
                  <w:color w:val="000000"/>
                  <w:sz w:val="20"/>
                  <w:vertAlign w:val="superscript"/>
                </w:rPr>
                <w:t>1</w:t>
              </w:r>
            </w:hyperlink>
            <w:bookmarkEnd w:id="45"/>
          </w:p>
        </w:tc>
        <w:tc>
          <w:tcPr>
            <w:vAlign w:val="top"/>
          </w:tcPr>
          <w:p>
            <w:pPr>
              <w:spacing w:before="0" w:after="0" w:line="275" w:lineRule="atLeast"/>
              <w:jc w:val="both"/>
            </w:pPr>
            <w:r>
              <w:rPr>
                <w:rFonts w:ascii="Times New Roman" w:hAnsi="Times New Roman"/>
                <w:color w:val="000000"/>
                <w:sz w:val="20"/>
              </w:rPr>
              <w:t>The federal government's occupation of the submerged lands was established at trial by the uncontroverted testimony of Ray Ladd.</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29" name="Picture 0" descr="Westlaw Logo"/>
                <a:graphic>
                  <a:graphicData uri="http://schemas.openxmlformats.org/drawingml/2006/picture">
                    <p:pic>
                      <p:nvPicPr>
                        <p:cNvPr id="30"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Norton v. Town of Long Island, Not Reported in A.2d (2004)</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rPr>
              <w:rFonts w:ascii="Arial" w:hAnsi="Arial"/>
              <w:color w:val="000000"/>
              <w:sz w:val="18"/>
            </w:rPr>
          </w:pP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